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</w:pPr>
    </w:p>
    <w:p w:rsid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</w:pPr>
      <w:r w:rsidRPr="00E33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  <w:t>Résumé</w:t>
      </w:r>
      <w:r w:rsidR="009C5FF1"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  <w:t xml:space="preserve">  Pierre Thomas</w:t>
      </w:r>
      <w:r w:rsidR="0061567E"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  <w:t xml:space="preserve"> ENS Lyon</w:t>
      </w:r>
      <w:bookmarkStart w:id="0" w:name="_GoBack"/>
      <w:bookmarkEnd w:id="0"/>
    </w:p>
    <w:p w:rsidR="00E33D93" w:rsidRP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  <w:r w:rsidRPr="00E33D93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Rôle respectif de la précipitation/dissolution des carbonates, de l'altération continentale et du volcanisme dans la teneur en CO</w:t>
      </w:r>
      <w:r w:rsidRPr="00E33D93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  <w:vertAlign w:val="subscript"/>
        </w:rPr>
        <w:t>2</w:t>
      </w:r>
      <w:r w:rsidRPr="00E33D93">
        <w:rPr>
          <w:rStyle w:val="apple-converted-space"/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 </w:t>
      </w:r>
      <w:r w:rsidRPr="00E33D93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de l'atmosphère et bilan à différentes échelles de temps.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Les réactions de précipitation-dissolution des carbonates telles que vous les écrivez s'équilibrent aux échelles de temps brèves ; le bilan est nul et cela n'influe pas sur le taux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atmosphérique. Les variations aux grandes échelles de temps (comme la baisse globale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depuis 4,5 milliards d'années, la baisse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au Carbonifère ou depuis le début du Tertiaire, la hausse au Crétacé...) sont dues aux variations relatives de l'altération continentale (qui pompe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 et du volcanisme (qui en fournit). Au cours de l'histoire de la Terre, la fabrication de calcaire (en surface, suite à l'altération des silicates calciques) a été globalement légèrement supérieure à sa destruction en profondeur (par métamorphisme et subduction). Au cours des temps géologiques, le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 a donc baissé, d'un facteur 100 000 à peu près.</w:t>
      </w:r>
    </w:p>
    <w:p w:rsid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fr-FR"/>
        </w:rPr>
      </w:pPr>
    </w:p>
    <w:p w:rsidR="00E33D93" w:rsidRP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</w:pPr>
      <w:r w:rsidRPr="00E33D93"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  <w:t>Précipitation et altération des carbonates à l'échelle humaine</w:t>
      </w:r>
    </w:p>
    <w:p w:rsidR="00E33D93" w:rsidRPr="00E33D93" w:rsidRDefault="00E33D93" w:rsidP="00E33D93">
      <w:pPr>
        <w:shd w:val="clear" w:color="auto" w:fill="FFFFFF"/>
        <w:spacing w:before="120" w:after="24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Lorsqu'on on travaille à un instant donné, aujourd'hui par exemple, on écrit l'équation :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O </w:t>
      </w:r>
      <w:r w:rsidRPr="00E33D93">
        <w:rPr>
          <w:rFonts w:ascii="Cambria Math" w:eastAsia="Times New Roman" w:hAnsi="Cambria Math" w:cs="Cambria Math"/>
          <w:color w:val="000000"/>
          <w:sz w:val="19"/>
          <w:szCs w:val="19"/>
          <w:lang w:eastAsia="fr-FR"/>
        </w:rPr>
        <w:t>⇄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2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Cela veut dire, par exemple, que l'eau de pluie absorbe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atmosphérique, que cette pluie chargée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attaque le calcaire, qui se trouve ainsi transformé en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 Il y a donc prélèvement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dans l'atmosphère, qui se trouve alors transféré vers l'hydrosphère.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Cela veut dire, dans l'autre sens, que lorsqu'un corail fabrique son test, il prélève 2 moles de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de l'hydrosphère, pour donner une mole de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une mole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 Ce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est dans ce cas précis utilisé par une algue symbiotique, et sa libération dans l'atmosphère est différée jusqu'à la mort de l'algue.</w:t>
      </w:r>
    </w:p>
    <w:p w:rsid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</w:pPr>
    </w:p>
    <w:p w:rsidR="00E33D93" w:rsidRP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</w:pPr>
      <w:r w:rsidRPr="00E33D93"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  <w:t>Précipitation des carbonates et piégeage du CO</w:t>
      </w:r>
      <w:r w:rsidRPr="00E33D93">
        <w:rPr>
          <w:rFonts w:ascii="Arial" w:eastAsia="Times New Roman" w:hAnsi="Arial" w:cs="Arial"/>
          <w:b/>
          <w:bCs/>
          <w:color w:val="FF0000"/>
          <w:sz w:val="25"/>
          <w:szCs w:val="25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  <w:t> à l'échelle du millier ou du million d'années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À l'échelle du millier ou du million d'années, ces deux réactions s'équilibrent. Si pour une cause x ou y, un sens est favorisé, par exemple libération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à cause de la précipitation de calcaire, le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augmentera, ce qui favorisera la dissolution des carbonates, et donc le transfert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de l'atmosphère vers l'hydrosphère. À l'échelle du millier ou du million d'années, le bilan de tout cela est nul, et ne change pas la teneur en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atmosphérique.</w:t>
      </w:r>
    </w:p>
    <w:p w:rsid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</w:pPr>
    </w:p>
    <w:p w:rsidR="00E33D93" w:rsidRPr="00E33D93" w:rsidRDefault="00E33D93" w:rsidP="00E33D93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</w:pPr>
      <w:r w:rsidRPr="00E33D93">
        <w:rPr>
          <w:rFonts w:ascii="Arial" w:eastAsia="Times New Roman" w:hAnsi="Arial" w:cs="Arial"/>
          <w:b/>
          <w:bCs/>
          <w:color w:val="FF0000"/>
          <w:sz w:val="25"/>
          <w:szCs w:val="25"/>
          <w:lang w:eastAsia="fr-FR"/>
        </w:rPr>
        <w:t>Précipitation des carbonates à l'échelle de plusieurs dizaines de millions d'années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Tous les raisonnements précédents se font donc avec une quantité de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de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constante. Et c'est là que le bât blesse...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En effet, la quantité de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de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n'est pas constante. L'altération des silicates calciques (contenant du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 par une eau chargée en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est un phénomène très lent qui pompe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de l'atmosphère pour le transformer en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:</w:t>
      </w:r>
    </w:p>
    <w:p w:rsidR="00E33D93" w:rsidRPr="00E33D93" w:rsidRDefault="00E33D93" w:rsidP="00E33D9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Étape 1 : dissolution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2H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+ 2CO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Cambria Math" w:eastAsia="Times New Roman" w:hAnsi="Cambria Math" w:cs="Cambria Math"/>
          <w:color w:val="000000"/>
          <w:sz w:val="19"/>
          <w:szCs w:val="19"/>
          <w:lang w:eastAsia="fr-FR"/>
        </w:rPr>
        <w:t>⇄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2 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Cambria Math" w:eastAsia="Times New Roman" w:hAnsi="Cambria Math" w:cs="Cambria Math"/>
          <w:color w:val="000000"/>
          <w:sz w:val="19"/>
          <w:szCs w:val="19"/>
          <w:lang w:eastAsia="fr-FR"/>
        </w:rPr>
        <w:t>⇄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2H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+ 2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</w:p>
    <w:p w:rsidR="00E33D93" w:rsidRPr="00E33D93" w:rsidRDefault="00E33D93" w:rsidP="00E33D93">
      <w:pPr>
        <w:numPr>
          <w:ilvl w:val="0"/>
          <w:numId w:val="1"/>
        </w:numPr>
        <w:shd w:val="clear" w:color="auto" w:fill="FFFFFF"/>
        <w:spacing w:after="24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Étape 2 : altération des silicates calciques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2H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+ 2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 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+ CaSiO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→ 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+ 2HCO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Pour simplifier, on écrit les équations avec le plus simple des silicates calciques, CaSiO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 (la </w:t>
      </w:r>
      <w:proofErr w:type="spell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wollastonite</w:t>
      </w:r>
      <w:proofErr w:type="spell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). Ces deux étapes prélèvent donc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 (2 molécules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pour 1 atome de Ca) et le transforment en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dissous.</w:t>
      </w:r>
    </w:p>
    <w:p w:rsidR="00E33D93" w:rsidRPr="00E33D93" w:rsidRDefault="00E33D93" w:rsidP="00E33D93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Étape 3 : transferts de ces substances dissoutes vers la mer.</w:t>
      </w:r>
    </w:p>
    <w:p w:rsidR="00E33D93" w:rsidRPr="00E33D93" w:rsidRDefault="00E33D93" w:rsidP="00E33D93">
      <w:pPr>
        <w:numPr>
          <w:ilvl w:val="0"/>
          <w:numId w:val="1"/>
        </w:numPr>
        <w:shd w:val="clear" w:color="auto" w:fill="FFFFFF"/>
        <w:spacing w:after="24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Étape 4 : dans un milieu de sédimentation :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lastRenderedPageBreak/>
        <w:t>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vont alors suivre le destin normal de ces ions :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+ 2HCO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Ca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2+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Cambria Math" w:eastAsia="Times New Roman" w:hAnsi="Cambria Math" w:cs="Cambria Math"/>
          <w:color w:val="000000"/>
          <w:sz w:val="19"/>
          <w:szCs w:val="19"/>
          <w:lang w:eastAsia="fr-FR"/>
        </w:rPr>
        <w:t>⇄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+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</w:p>
    <w:p w:rsidR="00E33D93" w:rsidRPr="00E33D93" w:rsidRDefault="00E33D93" w:rsidP="00E33D93">
      <w:pPr>
        <w:shd w:val="clear" w:color="auto" w:fill="FFFFFF"/>
        <w:spacing w:after="0" w:line="360" w:lineRule="atLeast"/>
        <w:ind w:left="480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À la silice près qui n'intervient pas, cette étape 4 est identique à la classique équation des carbonates, et 2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dissous sont transformés en 1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1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 ; mais ces 2 HCO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-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proviennent de 2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et n'en redonnent qu'un seul !</w:t>
      </w:r>
    </w:p>
    <w:p w:rsidR="00E33D93" w:rsidRPr="00E33D93" w:rsidRDefault="00E33D93" w:rsidP="00E33D93">
      <w:pPr>
        <w:shd w:val="clear" w:color="auto" w:fill="FFFFFF"/>
        <w:spacing w:before="120" w:after="24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 somme de tout cela, c'est :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2CO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+ 2H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+ CaSiO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→ 2H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+ 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Il y avait 2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au départ et il en reste un seul à l'arrivée... Parce qu'il y a eu apport de calcium nouveau, un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de l'atmosphère a été prélevé et il est devenu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Dans toutes ces équations, il y a partout </w:t>
      </w:r>
      <w:r w:rsidRPr="00E33D93">
        <w:rPr>
          <w:rFonts w:ascii="Cambria Math" w:eastAsia="Times New Roman" w:hAnsi="Cambria Math" w:cs="Cambria Math"/>
          <w:color w:val="000000"/>
          <w:sz w:val="19"/>
          <w:szCs w:val="19"/>
          <w:lang w:eastAsia="fr-FR"/>
        </w:rPr>
        <w:t>⇄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, sauf à un endroit où il n'y a que →. C'est pour cela que globalement, la somme de ces réactions ne va que dans un sens (→).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Ensuite, ce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sera pris dans le cycle classique de la dissolution des carbonates, dont le bilan est nul sur quelques milliers à millions d'années.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Dans la nature, les plus courants des silicates calciques ne sont pas la </w:t>
      </w:r>
      <w:proofErr w:type="spell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wollastonite</w:t>
      </w:r>
      <w:proofErr w:type="spell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mais le plagioclase calcique, </w:t>
      </w:r>
      <w:proofErr w:type="gram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les pyroxène</w:t>
      </w:r>
      <w:proofErr w:type="gram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et les amphiboles… L'équation bilan avec le plagioclase peut alors s'écrire : 2 Al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8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 + 2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+ 4 H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 à 2 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Si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4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10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Al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4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(OH</w:t>
      </w:r>
      <w:proofErr w:type="gram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8</w:t>
      </w:r>
      <w:proofErr w:type="gram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(kaolinite). L'altération des granites et de ses plagioclases fabrique donc des chaos granitiques, de l'arène, des argiles mais le plus important, à l'échelle de la planète Terre, c'est la baisse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C'est comme cela qu'au cours des milliards d'années,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 a été transformé en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lithosphérique (calcaire). Ce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lithosphérique (calcaire) est détruit à chaud dans les réactions métamorphiques et surtout par la subduction (CaCO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→ CaSiO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3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+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). Ce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revient alors dans l'atmosphère par le volcanisme.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Les variations aux grandes échelles de temps (baisse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au Carbonifère ou depuis le début du Tertiaire, hausse au Crétacé...) sont dues aux variations relatives de l'altération continentale (qui pompe du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 et du volcanisme (qui en fournit). Mais au cours de l'histoire de la Terre, la fabrication de calcaire (en surface, suite à l'altération des silicates calciques) a été globalement légèrement supérieure à sa destruction en profondeur (par métamorphisme et subduction).</w:t>
      </w:r>
    </w:p>
    <w:p w:rsidR="00E33D93" w:rsidRPr="00E33D93" w:rsidRDefault="00E33D93" w:rsidP="00E33D93">
      <w:pPr>
        <w:shd w:val="clear" w:color="auto" w:fill="FFFFFF"/>
        <w:spacing w:after="0" w:line="288" w:lineRule="atLeast"/>
        <w:ind w:firstLine="225"/>
        <w:jc w:val="both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Au cours du temps, le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atmosphérique a donc baissé, d'un facteur 100 000, à peu près : pression de CO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fr-FR"/>
        </w:rPr>
        <w:t>2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voisine de 30.10</w:t>
      </w:r>
      <w:r w:rsidRPr="00E33D93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fr-FR"/>
        </w:rPr>
        <w:t>5</w:t>
      </w:r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 Pa (30 </w:t>
      </w:r>
      <w:proofErr w:type="spell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atm</w:t>
      </w:r>
      <w:proofErr w:type="spell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) juste après la formation de la Terre et de 30 Pa (0,000 3 </w:t>
      </w:r>
      <w:proofErr w:type="spellStart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atm</w:t>
      </w:r>
      <w:proofErr w:type="spellEnd"/>
      <w:r w:rsidRPr="00E33D93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) actuellement.</w:t>
      </w:r>
    </w:p>
    <w:p w:rsidR="002F0921" w:rsidRDefault="002F0921"/>
    <w:sectPr w:rsidR="002F0921" w:rsidSect="00E3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198A"/>
    <w:multiLevelType w:val="multilevel"/>
    <w:tmpl w:val="17C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9"/>
    <w:rsid w:val="002F0921"/>
    <w:rsid w:val="0061567E"/>
    <w:rsid w:val="00814119"/>
    <w:rsid w:val="009C5FF1"/>
    <w:rsid w:val="00E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3D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33D93"/>
  </w:style>
  <w:style w:type="paragraph" w:customStyle="1" w:styleId="simpara">
    <w:name w:val="simpara"/>
    <w:basedOn w:val="Normal"/>
    <w:rsid w:val="00E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3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3D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33D93"/>
  </w:style>
  <w:style w:type="paragraph" w:customStyle="1" w:styleId="simpara">
    <w:name w:val="simpara"/>
    <w:basedOn w:val="Normal"/>
    <w:rsid w:val="00E3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5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4</cp:revision>
  <dcterms:created xsi:type="dcterms:W3CDTF">2016-01-05T18:06:00Z</dcterms:created>
  <dcterms:modified xsi:type="dcterms:W3CDTF">2016-01-05T18:10:00Z</dcterms:modified>
</cp:coreProperties>
</file>