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A3" w:rsidRPr="00D634A3" w:rsidRDefault="00D634A3" w:rsidP="006C283B">
      <w:pPr>
        <w:rPr>
          <w:sz w:val="28"/>
          <w:szCs w:val="28"/>
        </w:rPr>
      </w:pPr>
      <w:r w:rsidRPr="00D634A3">
        <w:rPr>
          <w:sz w:val="28"/>
          <w:szCs w:val="28"/>
        </w:rPr>
        <w:t>TS Spécialité SVT</w:t>
      </w:r>
    </w:p>
    <w:tbl>
      <w:tblPr>
        <w:tblW w:w="0" w:type="auto"/>
        <w:tblInd w:w="-25" w:type="dxa"/>
        <w:tblLayout w:type="fixed"/>
        <w:tblLook w:val="0000" w:firstRow="0" w:lastRow="0" w:firstColumn="0" w:lastColumn="0" w:noHBand="0" w:noVBand="0"/>
      </w:tblPr>
      <w:tblGrid>
        <w:gridCol w:w="9262"/>
      </w:tblGrid>
      <w:tr w:rsidR="00D634A3" w:rsidRPr="00D634A3" w:rsidTr="007E288F">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D634A3" w:rsidRDefault="00D634A3" w:rsidP="00D634A3">
            <w:pPr>
              <w:pStyle w:val="Sansinterligne"/>
              <w:rPr>
                <w:b/>
                <w:color w:val="7030A0"/>
                <w:sz w:val="36"/>
                <w:szCs w:val="36"/>
              </w:rPr>
            </w:pPr>
            <w:r>
              <w:rPr>
                <w:b/>
                <w:color w:val="7030A0"/>
                <w:sz w:val="36"/>
                <w:szCs w:val="36"/>
              </w:rPr>
              <w:t xml:space="preserve">Thème 2      </w:t>
            </w:r>
            <w:r w:rsidR="006C283B" w:rsidRPr="00D634A3">
              <w:rPr>
                <w:b/>
                <w:color w:val="7030A0"/>
                <w:sz w:val="36"/>
                <w:szCs w:val="36"/>
              </w:rPr>
              <w:t xml:space="preserve"> E</w:t>
            </w:r>
            <w:r w:rsidRPr="00D634A3">
              <w:rPr>
                <w:b/>
                <w:color w:val="7030A0"/>
                <w:sz w:val="36"/>
                <w:szCs w:val="36"/>
              </w:rPr>
              <w:t>njeux planétaires contemporain</w:t>
            </w:r>
            <w:r w:rsidR="00BC7B80">
              <w:rPr>
                <w:b/>
                <w:color w:val="7030A0"/>
                <w:sz w:val="36"/>
                <w:szCs w:val="36"/>
              </w:rPr>
              <w:t>s</w:t>
            </w:r>
          </w:p>
          <w:p w:rsidR="00D634A3" w:rsidRPr="00D634A3" w:rsidRDefault="00D634A3" w:rsidP="00D634A3">
            <w:pPr>
              <w:pStyle w:val="Sansinterligne"/>
              <w:rPr>
                <w:b/>
                <w:color w:val="7030A0"/>
                <w:sz w:val="36"/>
                <w:szCs w:val="36"/>
              </w:rPr>
            </w:pPr>
            <w:r>
              <w:rPr>
                <w:b/>
                <w:color w:val="7030A0"/>
                <w:sz w:val="36"/>
                <w:szCs w:val="36"/>
              </w:rPr>
              <w:t>Atmosphère, hydrosphère, climats : du passé à l’avenir</w:t>
            </w:r>
          </w:p>
        </w:tc>
      </w:tr>
    </w:tbl>
    <w:p w:rsidR="000E02A9" w:rsidRDefault="000E02A9" w:rsidP="006C283B">
      <w:pPr>
        <w:rPr>
          <w:i/>
        </w:rPr>
      </w:pPr>
    </w:p>
    <w:p w:rsidR="006C283B" w:rsidRPr="00D634A3" w:rsidRDefault="00D634A3" w:rsidP="00D634A3">
      <w:pPr>
        <w:pStyle w:val="Sansinterligne"/>
        <w:pBdr>
          <w:top w:val="single" w:sz="4" w:space="1" w:color="auto"/>
          <w:left w:val="single" w:sz="4" w:space="4" w:color="auto"/>
          <w:bottom w:val="single" w:sz="4" w:space="1" w:color="auto"/>
          <w:right w:val="single" w:sz="4" w:space="4" w:color="auto"/>
        </w:pBdr>
        <w:rPr>
          <w:b/>
          <w:color w:val="00B050"/>
          <w:sz w:val="32"/>
          <w:szCs w:val="32"/>
        </w:rPr>
      </w:pPr>
      <w:r w:rsidRPr="00D634A3">
        <w:rPr>
          <w:b/>
          <w:color w:val="00B050"/>
          <w:sz w:val="32"/>
          <w:szCs w:val="32"/>
        </w:rPr>
        <w:t xml:space="preserve"> </w:t>
      </w:r>
      <w:r>
        <w:rPr>
          <w:b/>
          <w:color w:val="00B050"/>
          <w:sz w:val="32"/>
          <w:szCs w:val="32"/>
        </w:rPr>
        <w:t xml:space="preserve">     </w:t>
      </w:r>
      <w:proofErr w:type="spellStart"/>
      <w:r w:rsidR="0028259E">
        <w:rPr>
          <w:b/>
          <w:color w:val="00B050"/>
          <w:sz w:val="32"/>
          <w:szCs w:val="32"/>
        </w:rPr>
        <w:t>Chap.I</w:t>
      </w:r>
      <w:r w:rsidR="000E02A9">
        <w:rPr>
          <w:b/>
          <w:color w:val="00B050"/>
          <w:sz w:val="32"/>
          <w:szCs w:val="32"/>
        </w:rPr>
        <w:t>I</w:t>
      </w:r>
      <w:proofErr w:type="spellEnd"/>
      <w:r>
        <w:rPr>
          <w:b/>
          <w:color w:val="00B050"/>
          <w:sz w:val="32"/>
          <w:szCs w:val="32"/>
        </w:rPr>
        <w:t xml:space="preserve">  </w:t>
      </w:r>
      <w:r w:rsidR="000E02A9">
        <w:rPr>
          <w:b/>
          <w:color w:val="00B050"/>
          <w:sz w:val="32"/>
          <w:szCs w:val="32"/>
        </w:rPr>
        <w:t xml:space="preserve"> L’évolution du climat à de grandes échelles de temps</w:t>
      </w:r>
      <w:r>
        <w:rPr>
          <w:b/>
          <w:color w:val="00B050"/>
          <w:sz w:val="32"/>
          <w:szCs w:val="32"/>
        </w:rPr>
        <w:t xml:space="preserve">  </w:t>
      </w:r>
      <w:r w:rsidR="004C3EED">
        <w:rPr>
          <w:b/>
          <w:color w:val="00B050"/>
          <w:sz w:val="32"/>
          <w:szCs w:val="32"/>
        </w:rPr>
        <w:t xml:space="preserve">   </w:t>
      </w:r>
    </w:p>
    <w:p w:rsidR="000E02A9" w:rsidRDefault="000E02A9" w:rsidP="006C283B">
      <w:pPr>
        <w:pStyle w:val="Sansinterligne"/>
      </w:pPr>
    </w:p>
    <w:p w:rsidR="000E02A9" w:rsidRPr="000E02A9" w:rsidRDefault="000E02A9" w:rsidP="006C283B">
      <w:pPr>
        <w:pStyle w:val="Sansinterligne"/>
        <w:rPr>
          <w:i/>
        </w:rPr>
      </w:pPr>
      <w:r w:rsidRPr="000E02A9">
        <w:rPr>
          <w:i/>
        </w:rPr>
        <w:t>Les changements climatiques sont étudiés à dif</w:t>
      </w:r>
      <w:r>
        <w:rPr>
          <w:i/>
        </w:rPr>
        <w:t xml:space="preserve">férentes échelles de temps. A de très grandes échelles de temps, les scientifiques essayent de reconstituer les climats à l’échelle de la planète. On parle alors de climat global. Le climat global de la Terre est déduit d’un ensemble d’indices : sédimentaires, paléontologiques et le principe d’actualisme est appliqué quand c’est possible. On peut alors comparer les grandes modifications du climat global de la Terre au cours des temps géologiques aux climats actuels de la Terre. On peut alors constater qu’actuellement, la Terre est dans une période climatique globale froide.  </w:t>
      </w:r>
      <w:r w:rsidR="006C283B" w:rsidRPr="000E02A9">
        <w:rPr>
          <w:i/>
        </w:rPr>
        <w:t xml:space="preserve"> </w:t>
      </w:r>
    </w:p>
    <w:p w:rsidR="006C283B" w:rsidRDefault="006C283B" w:rsidP="006C283B">
      <w:pPr>
        <w:pStyle w:val="Sansinterligne"/>
        <w:rPr>
          <w:b/>
          <w:color w:val="7030A0"/>
          <w:u w:val="single"/>
        </w:rPr>
      </w:pPr>
    </w:p>
    <w:p w:rsidR="006C283B" w:rsidRPr="00EF32AC" w:rsidRDefault="005874D2" w:rsidP="006C283B">
      <w:pPr>
        <w:pStyle w:val="Sansinterligne"/>
        <w:rPr>
          <w:b/>
          <w:color w:val="7030A0"/>
          <w:sz w:val="28"/>
          <w:szCs w:val="28"/>
          <w:u w:val="single"/>
        </w:rPr>
      </w:pPr>
      <w:r w:rsidRPr="00EF32AC">
        <w:rPr>
          <w:b/>
          <w:color w:val="7030A0"/>
          <w:sz w:val="28"/>
          <w:szCs w:val="28"/>
          <w:u w:val="single"/>
        </w:rPr>
        <w:t xml:space="preserve">I </w:t>
      </w:r>
      <w:r w:rsidR="000E02A9">
        <w:rPr>
          <w:b/>
          <w:color w:val="7030A0"/>
          <w:sz w:val="28"/>
          <w:szCs w:val="28"/>
          <w:u w:val="single"/>
        </w:rPr>
        <w:t>Des variations du climat enregistrées dans les roches sédimentaires</w:t>
      </w:r>
    </w:p>
    <w:p w:rsidR="00B43F5E" w:rsidRDefault="00B43F5E" w:rsidP="005874D2">
      <w:pPr>
        <w:pStyle w:val="Sansinterligne"/>
      </w:pPr>
      <w:r>
        <w:t xml:space="preserve">   Les roches sédimentaires se forment dans des conditions climatiques particulières. Elles enregistrent le climat qui régnait localement lors du dépôt des sédiments.</w:t>
      </w:r>
      <w:r w:rsidR="005874D2">
        <w:t xml:space="preserve"> </w:t>
      </w:r>
      <w:r>
        <w:t xml:space="preserve">On se propose ici de s’intéresser à deux périodes : le </w:t>
      </w:r>
      <w:proofErr w:type="spellStart"/>
      <w:r>
        <w:t>Permo</w:t>
      </w:r>
      <w:proofErr w:type="spellEnd"/>
      <w:r>
        <w:t>-Carbonifère et le Crétacé.</w:t>
      </w:r>
      <w:r w:rsidR="005874D2">
        <w:t xml:space="preserve">   </w:t>
      </w:r>
    </w:p>
    <w:p w:rsidR="006C283B" w:rsidRPr="00EF32AC" w:rsidRDefault="005874D2" w:rsidP="005874D2">
      <w:pPr>
        <w:pStyle w:val="Sansinterligne"/>
        <w:rPr>
          <w:b/>
          <w:u w:val="single"/>
        </w:rPr>
      </w:pPr>
      <w:r w:rsidRPr="00EF32AC">
        <w:rPr>
          <w:b/>
          <w:u w:val="single"/>
        </w:rPr>
        <w:t xml:space="preserve">A </w:t>
      </w:r>
      <w:r w:rsidR="00B43F5E">
        <w:rPr>
          <w:b/>
          <w:u w:val="single"/>
        </w:rPr>
        <w:t xml:space="preserve">Le climat au </w:t>
      </w:r>
      <w:proofErr w:type="spellStart"/>
      <w:r w:rsidR="00B43F5E">
        <w:rPr>
          <w:b/>
          <w:u w:val="single"/>
        </w:rPr>
        <w:t>Permo</w:t>
      </w:r>
      <w:proofErr w:type="spellEnd"/>
      <w:r w:rsidR="00B43F5E">
        <w:rPr>
          <w:b/>
          <w:u w:val="single"/>
        </w:rPr>
        <w:t xml:space="preserve">-Carbonifère </w:t>
      </w:r>
      <w:r w:rsidR="0072453E">
        <w:rPr>
          <w:b/>
          <w:u w:val="single"/>
        </w:rPr>
        <w:t>(-350 à -260 millions d’années)</w:t>
      </w:r>
    </w:p>
    <w:p w:rsidR="006C283B" w:rsidRDefault="0072453E" w:rsidP="0072453E">
      <w:pPr>
        <w:pStyle w:val="Sansinterligne"/>
        <w:numPr>
          <w:ilvl w:val="0"/>
          <w:numId w:val="4"/>
        </w:numPr>
        <w:rPr>
          <w:color w:val="000000"/>
        </w:rPr>
      </w:pPr>
      <w:r>
        <w:rPr>
          <w:color w:val="000000"/>
        </w:rPr>
        <w:t xml:space="preserve">Les tillites et les roches striées sont des marqueurs d’une activité glaciaire. Leur présence sur des continents aujourd’hui éloignés (Amérique du Sud, Afrique du Sud, Inde, Australie) s’explique par le fait qu’au </w:t>
      </w:r>
      <w:proofErr w:type="spellStart"/>
      <w:r>
        <w:rPr>
          <w:color w:val="000000"/>
        </w:rPr>
        <w:t>Permo</w:t>
      </w:r>
      <w:proofErr w:type="spellEnd"/>
      <w:r>
        <w:rPr>
          <w:color w:val="000000"/>
        </w:rPr>
        <w:t>-Carbonifère ceux-ci étaient rassemblés avec le continent Antarctique en un contine</w:t>
      </w:r>
      <w:r w:rsidR="006157A7">
        <w:rPr>
          <w:color w:val="000000"/>
        </w:rPr>
        <w:t>nt unique</w:t>
      </w:r>
      <w:r>
        <w:rPr>
          <w:color w:val="000000"/>
        </w:rPr>
        <w:t xml:space="preserve"> </w:t>
      </w:r>
      <w:r w:rsidR="009875EA">
        <w:rPr>
          <w:color w:val="000000"/>
        </w:rPr>
        <w:t>centré sur le pôle sud. Une calott</w:t>
      </w:r>
      <w:r>
        <w:rPr>
          <w:color w:val="000000"/>
        </w:rPr>
        <w:t xml:space="preserve">e glaciaire recouvrait donc en partie ces continents. </w:t>
      </w:r>
    </w:p>
    <w:p w:rsidR="0072453E" w:rsidRDefault="00977A3E" w:rsidP="0072453E">
      <w:pPr>
        <w:pStyle w:val="Sansinterligne"/>
        <w:numPr>
          <w:ilvl w:val="0"/>
          <w:numId w:val="4"/>
        </w:numPr>
        <w:rPr>
          <w:color w:val="000000"/>
        </w:rPr>
      </w:pPr>
      <w:r>
        <w:rPr>
          <w:color w:val="000000"/>
        </w:rPr>
        <w:t xml:space="preserve">Les charbons, roches sédimentaires majeures du Carbonifère, se rencontrent en Amérique du Nord, en Europe, en Sibérie, en Chine… Les troncs fossilisés attestent de la présence de forêts très importantes ayant fourni le matériel végétal à l’origine du charbon. </w:t>
      </w:r>
    </w:p>
    <w:p w:rsidR="00977A3E" w:rsidRDefault="00977A3E" w:rsidP="0072453E">
      <w:pPr>
        <w:pStyle w:val="Sansinterligne"/>
        <w:numPr>
          <w:ilvl w:val="0"/>
          <w:numId w:val="4"/>
        </w:numPr>
        <w:rPr>
          <w:color w:val="000000"/>
        </w:rPr>
      </w:pPr>
      <w:r>
        <w:rPr>
          <w:color w:val="000000"/>
        </w:rPr>
        <w:t>La présence de bauxite, latérite et d’évaporites témoignent d’un climat tropical</w:t>
      </w:r>
      <w:r w:rsidR="00C47242">
        <w:rPr>
          <w:color w:val="000000"/>
        </w:rPr>
        <w:t xml:space="preserve"> à aride</w:t>
      </w:r>
      <w:bookmarkStart w:id="0" w:name="_GoBack"/>
      <w:bookmarkEnd w:id="0"/>
      <w:r>
        <w:rPr>
          <w:color w:val="000000"/>
        </w:rPr>
        <w:t xml:space="preserve">. </w:t>
      </w:r>
    </w:p>
    <w:p w:rsidR="00977A3E" w:rsidRDefault="00977A3E" w:rsidP="00977A3E">
      <w:pPr>
        <w:pStyle w:val="Sansinterligne"/>
        <w:numPr>
          <w:ilvl w:val="0"/>
          <w:numId w:val="5"/>
        </w:numPr>
        <w:rPr>
          <w:color w:val="000000"/>
        </w:rPr>
      </w:pPr>
      <w:r>
        <w:rPr>
          <w:color w:val="000000"/>
        </w:rPr>
        <w:t xml:space="preserve">Globalement, le climat au </w:t>
      </w:r>
      <w:proofErr w:type="spellStart"/>
      <w:r>
        <w:rPr>
          <w:color w:val="000000"/>
        </w:rPr>
        <w:t>Permo</w:t>
      </w:r>
      <w:proofErr w:type="spellEnd"/>
      <w:r>
        <w:rPr>
          <w:color w:val="000000"/>
        </w:rPr>
        <w:t xml:space="preserve">-Carbonifère devait être assez semblable à celui du quaternaire car marqué par la coexistence de climat polaire et subpolaire, climat tempéré, climat tropical et aride. A l’échelle de la planète, </w:t>
      </w:r>
      <w:r w:rsidR="005E56FA">
        <w:rPr>
          <w:color w:val="000000"/>
        </w:rPr>
        <w:t xml:space="preserve">le </w:t>
      </w:r>
      <w:proofErr w:type="spellStart"/>
      <w:r w:rsidR="005E56FA">
        <w:rPr>
          <w:color w:val="000000"/>
        </w:rPr>
        <w:t>Permo</w:t>
      </w:r>
      <w:proofErr w:type="spellEnd"/>
      <w:r w:rsidR="005E56FA">
        <w:rPr>
          <w:color w:val="000000"/>
        </w:rPr>
        <w:t xml:space="preserve">-Carbonifère est considérée comme une période de climat global froid comme le Quaternaire. </w:t>
      </w:r>
    </w:p>
    <w:p w:rsidR="006C283B" w:rsidRDefault="006C283B" w:rsidP="005874D2">
      <w:pPr>
        <w:pStyle w:val="Sansinterligne"/>
        <w:rPr>
          <w:color w:val="000000"/>
        </w:rPr>
      </w:pPr>
    </w:p>
    <w:p w:rsidR="006C283B" w:rsidRPr="00EF32AC" w:rsidRDefault="00EF32AC" w:rsidP="005874D2">
      <w:pPr>
        <w:pStyle w:val="Sansinterligne"/>
        <w:rPr>
          <w:b/>
          <w:u w:val="single"/>
        </w:rPr>
      </w:pPr>
      <w:r w:rsidRPr="00EF32AC">
        <w:rPr>
          <w:b/>
          <w:u w:val="single"/>
        </w:rPr>
        <w:t xml:space="preserve">   B </w:t>
      </w:r>
      <w:r w:rsidR="005E56FA">
        <w:rPr>
          <w:b/>
          <w:u w:val="single"/>
        </w:rPr>
        <w:t>Le climat au Crétacé (-100 à -65 millions d’années)</w:t>
      </w:r>
    </w:p>
    <w:p w:rsidR="006C283B" w:rsidRDefault="005E56FA" w:rsidP="005E56FA">
      <w:pPr>
        <w:pStyle w:val="Sansinterligne"/>
      </w:pPr>
      <w:r>
        <w:t xml:space="preserve">Plusieurs indices témoignent de l’existence d’un climat chaud au Crétacé marqué par une température moyenne de surface supérieure de 10°C environ par rapport à la température moyenne actuelle. </w:t>
      </w:r>
    </w:p>
    <w:p w:rsidR="005E56FA" w:rsidRDefault="00CA4CAA" w:rsidP="005E56FA">
      <w:pPr>
        <w:pStyle w:val="Sansinterligne"/>
        <w:numPr>
          <w:ilvl w:val="0"/>
          <w:numId w:val="6"/>
        </w:numPr>
      </w:pPr>
      <w:r>
        <w:t>Il n’existe aucune trace d’activité glaciaire</w:t>
      </w:r>
    </w:p>
    <w:p w:rsidR="00CA4CAA" w:rsidRDefault="00CA4CAA" w:rsidP="005E56FA">
      <w:pPr>
        <w:pStyle w:val="Sansinterligne"/>
        <w:numPr>
          <w:ilvl w:val="0"/>
          <w:numId w:val="6"/>
        </w:numPr>
      </w:pPr>
      <w:r>
        <w:t>On note la présence d’évaporites, de latérites et de bauxites à des latitudes plus élevées qu’actuellement.</w:t>
      </w:r>
    </w:p>
    <w:p w:rsidR="00CA4CAA" w:rsidRDefault="00CA4CAA" w:rsidP="005E56FA">
      <w:pPr>
        <w:pStyle w:val="Sansinterligne"/>
        <w:numPr>
          <w:ilvl w:val="0"/>
          <w:numId w:val="6"/>
        </w:numPr>
      </w:pPr>
      <w:r>
        <w:t>Les formations coralliennes, situées actuellement entre les tropiques, se développent jusqu’à des latitudes de 40°.</w:t>
      </w:r>
    </w:p>
    <w:p w:rsidR="00CA4CAA" w:rsidRDefault="00CA4CAA" w:rsidP="005E56FA">
      <w:pPr>
        <w:pStyle w:val="Sansinterligne"/>
        <w:numPr>
          <w:ilvl w:val="0"/>
          <w:numId w:val="6"/>
        </w:numPr>
      </w:pPr>
      <w:r>
        <w:t>On rencontre à des latitud</w:t>
      </w:r>
      <w:r w:rsidR="00C1599B">
        <w:t>es de 70° des arbres caractéris</w:t>
      </w:r>
      <w:r>
        <w:t>tiques de climats chauds ainsi que des reptiles qui, par comparaison avec des espèces actuelles, nécessitent des températures annuelles moyennes supérieures à 14°C.</w:t>
      </w:r>
    </w:p>
    <w:p w:rsidR="00CA4CAA" w:rsidRDefault="00CA4CAA" w:rsidP="005E56FA">
      <w:pPr>
        <w:pStyle w:val="Sansinterligne"/>
        <w:numPr>
          <w:ilvl w:val="0"/>
          <w:numId w:val="6"/>
        </w:numPr>
      </w:pPr>
      <w:r>
        <w:t>Le niveau de la mer était supérieur de 300 m à l’actuel.</w:t>
      </w:r>
    </w:p>
    <w:p w:rsidR="00AD18DF" w:rsidRDefault="00AD18DF" w:rsidP="00EF32AC">
      <w:pPr>
        <w:pStyle w:val="Sansinterligne"/>
        <w:rPr>
          <w:b/>
          <w:color w:val="7030A0"/>
          <w:sz w:val="28"/>
          <w:szCs w:val="28"/>
          <w:u w:val="single"/>
        </w:rPr>
      </w:pPr>
    </w:p>
    <w:p w:rsidR="006C283B" w:rsidRPr="00EF32AC" w:rsidRDefault="00C1599B" w:rsidP="00EF32AC">
      <w:pPr>
        <w:pStyle w:val="Sansinterligne"/>
        <w:rPr>
          <w:b/>
          <w:color w:val="7030A0"/>
          <w:sz w:val="28"/>
          <w:szCs w:val="28"/>
          <w:u w:val="single"/>
        </w:rPr>
      </w:pPr>
      <w:r>
        <w:rPr>
          <w:b/>
          <w:color w:val="7030A0"/>
          <w:sz w:val="28"/>
          <w:szCs w:val="28"/>
          <w:u w:val="single"/>
        </w:rPr>
        <w:t>II Les fossiles : des indicateurs des paléoclimats</w:t>
      </w:r>
    </w:p>
    <w:p w:rsidR="006C283B" w:rsidRPr="00EF32AC" w:rsidRDefault="00EF32AC" w:rsidP="00EF32AC">
      <w:pPr>
        <w:pStyle w:val="Sansinterligne"/>
        <w:rPr>
          <w:b/>
          <w:u w:val="single"/>
        </w:rPr>
      </w:pPr>
      <w:r w:rsidRPr="00EF32AC">
        <w:rPr>
          <w:b/>
          <w:u w:val="single"/>
        </w:rPr>
        <w:t xml:space="preserve">   A </w:t>
      </w:r>
      <w:r w:rsidR="00AD18DF">
        <w:rPr>
          <w:b/>
          <w:u w:val="single"/>
        </w:rPr>
        <w:t>La flore et la faune : des indicateurs de climats</w:t>
      </w:r>
    </w:p>
    <w:p w:rsidR="00AD18DF" w:rsidRDefault="00EF32AC" w:rsidP="00AD18DF">
      <w:pPr>
        <w:pStyle w:val="Sansinterligne"/>
        <w:rPr>
          <w:color w:val="000000"/>
        </w:rPr>
      </w:pPr>
      <w:r>
        <w:rPr>
          <w:color w:val="000000"/>
        </w:rPr>
        <w:t xml:space="preserve">   </w:t>
      </w:r>
      <w:r w:rsidR="00FF696B">
        <w:rPr>
          <w:color w:val="000000"/>
        </w:rPr>
        <w:t xml:space="preserve">Les sédiments marins contiennent des fossiles indicateurs de la </w:t>
      </w:r>
      <w:proofErr w:type="spellStart"/>
      <w:r w:rsidR="00FF696B">
        <w:rPr>
          <w:color w:val="000000"/>
        </w:rPr>
        <w:t>paléotempérature</w:t>
      </w:r>
      <w:proofErr w:type="spellEnd"/>
      <w:r w:rsidR="00FF696B">
        <w:rPr>
          <w:color w:val="000000"/>
        </w:rPr>
        <w:t xml:space="preserve"> </w:t>
      </w:r>
      <w:r w:rsidR="00244DE5">
        <w:rPr>
          <w:color w:val="000000"/>
        </w:rPr>
        <w:t xml:space="preserve">de l’océan. Par exemple, les foraminifères et les </w:t>
      </w:r>
      <w:proofErr w:type="spellStart"/>
      <w:r w:rsidR="00244DE5">
        <w:rPr>
          <w:color w:val="000000"/>
        </w:rPr>
        <w:t>Coccolithophoridés</w:t>
      </w:r>
      <w:proofErr w:type="spellEnd"/>
      <w:r w:rsidR="00244DE5">
        <w:rPr>
          <w:color w:val="000000"/>
        </w:rPr>
        <w:t xml:space="preserve"> présents dans les sédiments du Crétacé supérieur du Bassin parisien montrent que cette région était soumise à un climat chaud.</w:t>
      </w:r>
    </w:p>
    <w:p w:rsidR="00244DE5" w:rsidRPr="009C57F7" w:rsidRDefault="00244DE5" w:rsidP="00AD18DF">
      <w:pPr>
        <w:pStyle w:val="Sansinterligne"/>
        <w:rPr>
          <w:b/>
        </w:rPr>
      </w:pPr>
      <w:r>
        <w:rPr>
          <w:color w:val="000000"/>
        </w:rPr>
        <w:t xml:space="preserve">  Les fossiles terrestres peuvent également nous informer sur le climat en domaine continental. En particulier les fossiles de végétaux indiquent le type de peuplement végétal présent à une époque donnée. Par exemple, </w:t>
      </w:r>
      <w:r>
        <w:rPr>
          <w:color w:val="000000"/>
        </w:rPr>
        <w:lastRenderedPageBreak/>
        <w:t xml:space="preserve">les fougères fossilisées dans les sédiments du </w:t>
      </w:r>
      <w:proofErr w:type="spellStart"/>
      <w:r>
        <w:rPr>
          <w:color w:val="000000"/>
        </w:rPr>
        <w:t>Permo</w:t>
      </w:r>
      <w:proofErr w:type="spellEnd"/>
      <w:r>
        <w:rPr>
          <w:color w:val="000000"/>
        </w:rPr>
        <w:t>-Carbonifère sont caractéristiques de la présence d’une forêt tropicale à cette époque.</w:t>
      </w:r>
    </w:p>
    <w:p w:rsidR="006C283B" w:rsidRPr="009C57F7" w:rsidRDefault="006C283B" w:rsidP="00EF32AC">
      <w:pPr>
        <w:pStyle w:val="Sansinterligne"/>
        <w:rPr>
          <w:b/>
        </w:rPr>
      </w:pPr>
    </w:p>
    <w:p w:rsidR="006C283B" w:rsidRPr="00EF32AC" w:rsidRDefault="00EF32AC" w:rsidP="00EF32AC">
      <w:pPr>
        <w:pStyle w:val="Sansinterligne"/>
        <w:rPr>
          <w:b/>
          <w:u w:val="single"/>
        </w:rPr>
      </w:pPr>
      <w:r w:rsidRPr="00EF32AC">
        <w:rPr>
          <w:b/>
          <w:u w:val="single"/>
        </w:rPr>
        <w:t xml:space="preserve">B </w:t>
      </w:r>
      <w:r w:rsidR="00AD18DF">
        <w:rPr>
          <w:b/>
          <w:u w:val="single"/>
        </w:rPr>
        <w:t>L’utilisation de l’indice stomatique comme indicateur du taux de dioxyde de carbone</w:t>
      </w:r>
    </w:p>
    <w:p w:rsidR="006C283B" w:rsidRDefault="006C283B" w:rsidP="00EF32AC">
      <w:pPr>
        <w:pStyle w:val="Sansinterligne"/>
      </w:pPr>
    </w:p>
    <w:p w:rsidR="00AD18DF" w:rsidRDefault="00EF32AC" w:rsidP="00AD18DF">
      <w:pPr>
        <w:pStyle w:val="Sansinterligne"/>
        <w:rPr>
          <w:rStyle w:val="apple-style-span"/>
          <w:color w:val="000000"/>
        </w:rPr>
      </w:pPr>
      <w:r>
        <w:t xml:space="preserve">  </w:t>
      </w:r>
      <w:r w:rsidR="00BD4CFC">
        <w:t xml:space="preserve">Dans des conditions de fossilisation favorable, les paléontologues ont utilisé un indicateur du taux de dioxyde de carbone, gaz à effet de serre,  jouant un rôle dans le contrôle du climat. </w:t>
      </w:r>
      <w:r w:rsidR="00A11708">
        <w:t xml:space="preserve">On sait en effet  que l’indice stomatique mesuré sur des végétaux vasculaires est inversement proportionnel au taux de dioxyde de carbone présent dans l’atmosphère. </w:t>
      </w:r>
      <w:r w:rsidR="00BD4CFC">
        <w:t xml:space="preserve">En utilisant le principe d’actualisme, </w:t>
      </w:r>
      <w:r w:rsidR="00A11708">
        <w:t>on peut déterminer approximativement  le taux de CO</w:t>
      </w:r>
      <w:r w:rsidR="00A11708" w:rsidRPr="00A11708">
        <w:rPr>
          <w:vertAlign w:val="subscript"/>
        </w:rPr>
        <w:t>2</w:t>
      </w:r>
      <w:r w:rsidR="00A11708">
        <w:t xml:space="preserve"> atmosphéri</w:t>
      </w:r>
      <w:r w:rsidR="00F532E4">
        <w:t xml:space="preserve">que présent à une époque donnée en utilisant les empreintes fossilisées de feuilles de certains végétaux. </w:t>
      </w:r>
    </w:p>
    <w:p w:rsidR="00AD18DF" w:rsidRDefault="006C283B" w:rsidP="00AD18DF">
      <w:pPr>
        <w:pStyle w:val="Sansinterligne"/>
        <w:rPr>
          <w:rStyle w:val="apple-style-span"/>
          <w:color w:val="000000"/>
        </w:rPr>
      </w:pPr>
      <w:r>
        <w:rPr>
          <w:rStyle w:val="apple-style-span"/>
          <w:color w:val="000000"/>
        </w:rPr>
        <w:t xml:space="preserve"> </w:t>
      </w:r>
    </w:p>
    <w:p w:rsidR="001E073D" w:rsidRPr="00EF32AC" w:rsidRDefault="001E073D" w:rsidP="001E073D">
      <w:pPr>
        <w:pStyle w:val="Sansinterligne"/>
        <w:rPr>
          <w:b/>
          <w:color w:val="7030A0"/>
          <w:sz w:val="28"/>
          <w:szCs w:val="28"/>
          <w:u w:val="single"/>
        </w:rPr>
      </w:pPr>
      <w:r>
        <w:rPr>
          <w:b/>
          <w:color w:val="7030A0"/>
          <w:sz w:val="28"/>
          <w:szCs w:val="28"/>
          <w:u w:val="single"/>
        </w:rPr>
        <w:t xml:space="preserve">III Les </w:t>
      </w:r>
      <w:proofErr w:type="gramStart"/>
      <w:r>
        <w:rPr>
          <w:b/>
          <w:color w:val="7030A0"/>
          <w:sz w:val="28"/>
          <w:szCs w:val="28"/>
          <w:u w:val="single"/>
        </w:rPr>
        <w:t>causes</w:t>
      </w:r>
      <w:proofErr w:type="gramEnd"/>
      <w:r>
        <w:rPr>
          <w:b/>
          <w:color w:val="7030A0"/>
          <w:sz w:val="28"/>
          <w:szCs w:val="28"/>
          <w:u w:val="single"/>
        </w:rPr>
        <w:t xml:space="preserve"> des variations climatiques à de grandes échelles de temps</w:t>
      </w:r>
    </w:p>
    <w:p w:rsidR="001E073D" w:rsidRDefault="00571428" w:rsidP="00AD18DF">
      <w:pPr>
        <w:pStyle w:val="Sansinterligne"/>
        <w:rPr>
          <w:rStyle w:val="apple-style-span"/>
          <w:color w:val="000000"/>
        </w:rPr>
      </w:pPr>
      <w:r>
        <w:rPr>
          <w:rStyle w:val="apple-style-span"/>
          <w:color w:val="000000"/>
        </w:rPr>
        <w:t xml:space="preserve"> Les mécanismes des variations climatiques aux grandes échelles de temps impliquent des variations importantes dans la teneur en gaz à effet de serre de l’atmosphère, en particulier le CO</w:t>
      </w:r>
      <w:r w:rsidRPr="00571428">
        <w:rPr>
          <w:rStyle w:val="apple-style-span"/>
          <w:color w:val="000000"/>
          <w:vertAlign w:val="subscript"/>
        </w:rPr>
        <w:t>2</w:t>
      </w:r>
      <w:r>
        <w:rPr>
          <w:rStyle w:val="apple-style-span"/>
          <w:color w:val="000000"/>
        </w:rPr>
        <w:t>. Ces variations sont contrôlées par un certain nombre de processus qui libèrent ou consomment du CO</w:t>
      </w:r>
      <w:r w:rsidRPr="00571428">
        <w:rPr>
          <w:rStyle w:val="apple-style-span"/>
          <w:color w:val="000000"/>
          <w:vertAlign w:val="subscript"/>
        </w:rPr>
        <w:t>2</w:t>
      </w:r>
      <w:r>
        <w:rPr>
          <w:rStyle w:val="apple-style-span"/>
          <w:color w:val="000000"/>
        </w:rPr>
        <w:t>.</w:t>
      </w:r>
    </w:p>
    <w:tbl>
      <w:tblPr>
        <w:tblStyle w:val="Grilledutableau"/>
        <w:tblW w:w="0" w:type="auto"/>
        <w:tblLook w:val="04A0" w:firstRow="1" w:lastRow="0" w:firstColumn="1" w:lastColumn="0" w:noHBand="0" w:noVBand="1"/>
      </w:tblPr>
      <w:tblGrid>
        <w:gridCol w:w="10682"/>
      </w:tblGrid>
      <w:tr w:rsidR="00571428" w:rsidTr="00571428">
        <w:tc>
          <w:tcPr>
            <w:tcW w:w="10606" w:type="dxa"/>
          </w:tcPr>
          <w:p w:rsidR="00571428" w:rsidRDefault="0015585E" w:rsidP="00AD18DF">
            <w:pPr>
              <w:pStyle w:val="Sansinterligne"/>
            </w:pPr>
            <w:r>
              <w:rPr>
                <w:noProof/>
                <w:lang w:eastAsia="fr-FR"/>
              </w:rPr>
              <w:drawing>
                <wp:inline distT="0" distB="0" distL="0" distR="0">
                  <wp:extent cx="6645910" cy="189166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se1.jpg"/>
                          <pic:cNvPicPr/>
                        </pic:nvPicPr>
                        <pic:blipFill>
                          <a:blip r:embed="rId6">
                            <a:extLst>
                              <a:ext uri="{28A0092B-C50C-407E-A947-70E740481C1C}">
                                <a14:useLocalDpi xmlns:a14="http://schemas.microsoft.com/office/drawing/2010/main" val="0"/>
                              </a:ext>
                            </a:extLst>
                          </a:blip>
                          <a:stretch>
                            <a:fillRect/>
                          </a:stretch>
                        </pic:blipFill>
                        <pic:spPr>
                          <a:xfrm>
                            <a:off x="0" y="0"/>
                            <a:ext cx="6645910" cy="1891665"/>
                          </a:xfrm>
                          <a:prstGeom prst="rect">
                            <a:avLst/>
                          </a:prstGeom>
                        </pic:spPr>
                      </pic:pic>
                    </a:graphicData>
                  </a:graphic>
                </wp:inline>
              </w:drawing>
            </w:r>
          </w:p>
        </w:tc>
      </w:tr>
      <w:tr w:rsidR="00571428" w:rsidTr="00571428">
        <w:tc>
          <w:tcPr>
            <w:tcW w:w="10606" w:type="dxa"/>
          </w:tcPr>
          <w:p w:rsidR="00571428" w:rsidRDefault="00C840EA" w:rsidP="00AD18DF">
            <w:pPr>
              <w:pStyle w:val="Sansinterligne"/>
            </w:pPr>
            <w:r>
              <w:rPr>
                <w:noProof/>
                <w:lang w:eastAsia="fr-FR"/>
              </w:rPr>
              <w:drawing>
                <wp:inline distT="0" distB="0" distL="0" distR="0">
                  <wp:extent cx="6645910" cy="253619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se2.jpg"/>
                          <pic:cNvPicPr/>
                        </pic:nvPicPr>
                        <pic:blipFill>
                          <a:blip r:embed="rId7">
                            <a:extLst>
                              <a:ext uri="{28A0092B-C50C-407E-A947-70E740481C1C}">
                                <a14:useLocalDpi xmlns:a14="http://schemas.microsoft.com/office/drawing/2010/main" val="0"/>
                              </a:ext>
                            </a:extLst>
                          </a:blip>
                          <a:stretch>
                            <a:fillRect/>
                          </a:stretch>
                        </pic:blipFill>
                        <pic:spPr>
                          <a:xfrm>
                            <a:off x="0" y="0"/>
                            <a:ext cx="6645910" cy="2536190"/>
                          </a:xfrm>
                          <a:prstGeom prst="rect">
                            <a:avLst/>
                          </a:prstGeom>
                        </pic:spPr>
                      </pic:pic>
                    </a:graphicData>
                  </a:graphic>
                </wp:inline>
              </w:drawing>
            </w:r>
          </w:p>
        </w:tc>
      </w:tr>
      <w:tr w:rsidR="00571428" w:rsidTr="00571428">
        <w:tc>
          <w:tcPr>
            <w:tcW w:w="10606" w:type="dxa"/>
          </w:tcPr>
          <w:p w:rsidR="00571428" w:rsidRDefault="00C840EA" w:rsidP="00AD18DF">
            <w:pPr>
              <w:pStyle w:val="Sansinterligne"/>
            </w:pPr>
            <w:r>
              <w:rPr>
                <w:noProof/>
                <w:lang w:eastAsia="fr-FR"/>
              </w:rPr>
              <w:drawing>
                <wp:inline distT="0" distB="0" distL="0" distR="0">
                  <wp:extent cx="6645910" cy="204724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se3.jpg"/>
                          <pic:cNvPicPr/>
                        </pic:nvPicPr>
                        <pic:blipFill>
                          <a:blip r:embed="rId8">
                            <a:extLst>
                              <a:ext uri="{28A0092B-C50C-407E-A947-70E740481C1C}">
                                <a14:useLocalDpi xmlns:a14="http://schemas.microsoft.com/office/drawing/2010/main" val="0"/>
                              </a:ext>
                            </a:extLst>
                          </a:blip>
                          <a:stretch>
                            <a:fillRect/>
                          </a:stretch>
                        </pic:blipFill>
                        <pic:spPr>
                          <a:xfrm>
                            <a:off x="0" y="0"/>
                            <a:ext cx="6645910" cy="2047240"/>
                          </a:xfrm>
                          <a:prstGeom prst="rect">
                            <a:avLst/>
                          </a:prstGeom>
                        </pic:spPr>
                      </pic:pic>
                    </a:graphicData>
                  </a:graphic>
                </wp:inline>
              </w:drawing>
            </w:r>
          </w:p>
        </w:tc>
      </w:tr>
    </w:tbl>
    <w:p w:rsidR="001E073D" w:rsidRDefault="001E073D" w:rsidP="00AD18DF">
      <w:pPr>
        <w:pStyle w:val="Sansinterligne"/>
      </w:pPr>
    </w:p>
    <w:p w:rsidR="009C57F7" w:rsidRPr="002C07AB" w:rsidRDefault="00AD18DF" w:rsidP="000B112C">
      <w:pPr>
        <w:pStyle w:val="Sansinterligne"/>
        <w:rPr>
          <w:b/>
        </w:rPr>
      </w:pPr>
      <w:r>
        <w:rPr>
          <w:b/>
        </w:rPr>
        <w:t xml:space="preserve">Lexique   </w:t>
      </w:r>
    </w:p>
    <w:p w:rsidR="00DE31DD" w:rsidRDefault="002A5FD1" w:rsidP="000B112C">
      <w:pPr>
        <w:pStyle w:val="Sansinterligne"/>
      </w:pPr>
      <w:r w:rsidRPr="002A5FD1">
        <w:rPr>
          <w:b/>
          <w:u w:val="single"/>
        </w:rPr>
        <w:lastRenderedPageBreak/>
        <w:t>Albédo</w:t>
      </w:r>
      <w:r>
        <w:t> : rapport entre la quantité d’énergie réfléchie par un objet et la quantité d’énergie reçue. L’albédo de la neige ou de la glace est voisin de 0,9 par exemple.</w:t>
      </w:r>
    </w:p>
    <w:p w:rsidR="002A5FD1" w:rsidRDefault="002A5FD1" w:rsidP="000B112C">
      <w:pPr>
        <w:pStyle w:val="Sansinterligne"/>
      </w:pPr>
      <w:r w:rsidRPr="002A5FD1">
        <w:rPr>
          <w:b/>
          <w:u w:val="single"/>
        </w:rPr>
        <w:t>Altération</w:t>
      </w:r>
      <w:r>
        <w:t> : transformation chimique des minéraux des roches sous l’effet conjugué de facteurs climatiques.</w:t>
      </w:r>
    </w:p>
    <w:p w:rsidR="00614D5F" w:rsidRPr="001E073D" w:rsidRDefault="00A11708" w:rsidP="00614D5F">
      <w:pPr>
        <w:pStyle w:val="Sansinterligne"/>
        <w:rPr>
          <w:color w:val="000000" w:themeColor="text1"/>
          <w:sz w:val="22"/>
          <w:szCs w:val="22"/>
        </w:rPr>
      </w:pPr>
      <w:r w:rsidRPr="001E073D">
        <w:rPr>
          <w:b/>
          <w:u w:val="single"/>
        </w:rPr>
        <w:t>Bauxite </w:t>
      </w:r>
      <w:r>
        <w:t>:</w:t>
      </w:r>
      <w:r w:rsidR="00614D5F">
        <w:t xml:space="preserve"> </w:t>
      </w:r>
      <w:r w:rsidR="001E073D">
        <w:rPr>
          <w:color w:val="000000" w:themeColor="text1"/>
          <w:sz w:val="22"/>
          <w:szCs w:val="22"/>
        </w:rPr>
        <w:t>roche</w:t>
      </w:r>
      <w:r w:rsidR="00614D5F" w:rsidRPr="001E073D">
        <w:rPr>
          <w:rStyle w:val="apple-converted-space"/>
          <w:color w:val="000000" w:themeColor="text1"/>
          <w:sz w:val="22"/>
          <w:szCs w:val="22"/>
        </w:rPr>
        <w:t> </w:t>
      </w:r>
      <w:hyperlink r:id="rId9" w:tooltip="Latérite" w:history="1">
        <w:r w:rsidR="00614D5F" w:rsidRPr="001E073D">
          <w:rPr>
            <w:rStyle w:val="Lienhypertexte"/>
            <w:color w:val="000000" w:themeColor="text1"/>
            <w:sz w:val="22"/>
            <w:szCs w:val="22"/>
            <w:u w:val="none"/>
          </w:rPr>
          <w:t>latéritique</w:t>
        </w:r>
      </w:hyperlink>
      <w:r w:rsidR="00614D5F" w:rsidRPr="001E073D">
        <w:rPr>
          <w:rStyle w:val="apple-converted-space"/>
          <w:color w:val="000000" w:themeColor="text1"/>
          <w:sz w:val="22"/>
          <w:szCs w:val="22"/>
        </w:rPr>
        <w:t> </w:t>
      </w:r>
      <w:r w:rsidR="00614D5F" w:rsidRPr="001E073D">
        <w:rPr>
          <w:color w:val="000000" w:themeColor="text1"/>
          <w:sz w:val="22"/>
          <w:szCs w:val="22"/>
        </w:rPr>
        <w:t>blanche, rouge ou grise, caractérisée par sa forte teneur en</w:t>
      </w:r>
      <w:r w:rsidR="00614D5F" w:rsidRPr="001E073D">
        <w:rPr>
          <w:rStyle w:val="apple-converted-space"/>
          <w:color w:val="000000" w:themeColor="text1"/>
          <w:sz w:val="22"/>
          <w:szCs w:val="22"/>
        </w:rPr>
        <w:t> </w:t>
      </w:r>
      <w:hyperlink r:id="rId10" w:tooltip="Alumine" w:history="1">
        <w:r w:rsidR="00614D5F" w:rsidRPr="001E073D">
          <w:rPr>
            <w:rStyle w:val="Lienhypertexte"/>
            <w:color w:val="000000" w:themeColor="text1"/>
            <w:sz w:val="22"/>
            <w:szCs w:val="22"/>
            <w:u w:val="none"/>
          </w:rPr>
          <w:t>alumine</w:t>
        </w:r>
      </w:hyperlink>
      <w:r w:rsidR="00614D5F" w:rsidRPr="001E073D">
        <w:rPr>
          <w:rStyle w:val="apple-converted-space"/>
          <w:color w:val="000000" w:themeColor="text1"/>
          <w:sz w:val="22"/>
          <w:szCs w:val="22"/>
        </w:rPr>
        <w:t> </w:t>
      </w:r>
      <w:r w:rsidR="00614D5F" w:rsidRPr="001E073D">
        <w:rPr>
          <w:color w:val="000000" w:themeColor="text1"/>
          <w:sz w:val="22"/>
          <w:szCs w:val="22"/>
        </w:rPr>
        <w:t>Al</w:t>
      </w:r>
      <w:r w:rsidR="00614D5F" w:rsidRPr="001E073D">
        <w:rPr>
          <w:color w:val="000000" w:themeColor="text1"/>
          <w:sz w:val="22"/>
          <w:szCs w:val="22"/>
          <w:vertAlign w:val="subscript"/>
        </w:rPr>
        <w:t>2</w:t>
      </w:r>
      <w:r w:rsidR="00614D5F" w:rsidRPr="001E073D">
        <w:rPr>
          <w:color w:val="000000" w:themeColor="text1"/>
          <w:sz w:val="22"/>
          <w:szCs w:val="22"/>
        </w:rPr>
        <w:t>O</w:t>
      </w:r>
      <w:r w:rsidR="00614D5F" w:rsidRPr="001E073D">
        <w:rPr>
          <w:color w:val="000000" w:themeColor="text1"/>
          <w:sz w:val="22"/>
          <w:szCs w:val="22"/>
          <w:vertAlign w:val="subscript"/>
        </w:rPr>
        <w:t>3</w:t>
      </w:r>
      <w:r w:rsidR="00614D5F" w:rsidRPr="001E073D">
        <w:rPr>
          <w:rStyle w:val="apple-converted-space"/>
          <w:color w:val="000000" w:themeColor="text1"/>
          <w:sz w:val="22"/>
          <w:szCs w:val="22"/>
        </w:rPr>
        <w:t> </w:t>
      </w:r>
      <w:r w:rsidR="00614D5F" w:rsidRPr="001E073D">
        <w:rPr>
          <w:color w:val="000000" w:themeColor="text1"/>
          <w:sz w:val="22"/>
          <w:szCs w:val="22"/>
        </w:rPr>
        <w:t>et en</w:t>
      </w:r>
      <w:r w:rsidR="00614D5F" w:rsidRPr="001E073D">
        <w:rPr>
          <w:rStyle w:val="apple-converted-space"/>
          <w:color w:val="000000" w:themeColor="text1"/>
          <w:sz w:val="22"/>
          <w:szCs w:val="22"/>
        </w:rPr>
        <w:t> </w:t>
      </w:r>
      <w:hyperlink r:id="rId11" w:tooltip="Oxyde" w:history="1">
        <w:r w:rsidR="00614D5F" w:rsidRPr="001E073D">
          <w:rPr>
            <w:rStyle w:val="Lienhypertexte"/>
            <w:color w:val="000000" w:themeColor="text1"/>
            <w:sz w:val="22"/>
            <w:szCs w:val="22"/>
            <w:u w:val="none"/>
          </w:rPr>
          <w:t>oxydes</w:t>
        </w:r>
      </w:hyperlink>
      <w:r w:rsidR="00614D5F" w:rsidRPr="001E073D">
        <w:rPr>
          <w:rStyle w:val="apple-converted-space"/>
          <w:color w:val="000000" w:themeColor="text1"/>
          <w:sz w:val="22"/>
          <w:szCs w:val="22"/>
        </w:rPr>
        <w:t> </w:t>
      </w:r>
      <w:r w:rsidR="00614D5F" w:rsidRPr="001E073D">
        <w:rPr>
          <w:color w:val="000000" w:themeColor="text1"/>
          <w:sz w:val="22"/>
          <w:szCs w:val="22"/>
        </w:rPr>
        <w:t>de</w:t>
      </w:r>
      <w:r w:rsidR="00614D5F" w:rsidRPr="001E073D">
        <w:rPr>
          <w:rStyle w:val="apple-converted-space"/>
          <w:color w:val="000000" w:themeColor="text1"/>
          <w:sz w:val="22"/>
          <w:szCs w:val="22"/>
        </w:rPr>
        <w:t> </w:t>
      </w:r>
      <w:hyperlink r:id="rId12" w:tooltip="Fer" w:history="1">
        <w:r w:rsidR="00614D5F" w:rsidRPr="001E073D">
          <w:rPr>
            <w:rStyle w:val="Lienhypertexte"/>
            <w:color w:val="000000" w:themeColor="text1"/>
            <w:sz w:val="22"/>
            <w:szCs w:val="22"/>
            <w:u w:val="none"/>
          </w:rPr>
          <w:t>fer</w:t>
        </w:r>
      </w:hyperlink>
      <w:r w:rsidR="00614D5F" w:rsidRPr="001E073D">
        <w:rPr>
          <w:color w:val="000000" w:themeColor="text1"/>
          <w:sz w:val="22"/>
          <w:szCs w:val="22"/>
        </w:rPr>
        <w:t>. Cette roche constitue le principal</w:t>
      </w:r>
      <w:r w:rsidR="00614D5F" w:rsidRPr="001E073D">
        <w:rPr>
          <w:rStyle w:val="apple-converted-space"/>
          <w:color w:val="000000" w:themeColor="text1"/>
          <w:sz w:val="22"/>
          <w:szCs w:val="22"/>
        </w:rPr>
        <w:t> </w:t>
      </w:r>
      <w:hyperlink r:id="rId13" w:tooltip="Minerai (roche)" w:history="1">
        <w:r w:rsidR="00614D5F" w:rsidRPr="001E073D">
          <w:rPr>
            <w:rStyle w:val="Lienhypertexte"/>
            <w:color w:val="000000" w:themeColor="text1"/>
            <w:sz w:val="22"/>
            <w:szCs w:val="22"/>
            <w:u w:val="none"/>
          </w:rPr>
          <w:t>minerai</w:t>
        </w:r>
      </w:hyperlink>
      <w:r w:rsidR="00614D5F" w:rsidRPr="001E073D">
        <w:rPr>
          <w:rStyle w:val="apple-converted-space"/>
          <w:color w:val="000000" w:themeColor="text1"/>
          <w:sz w:val="22"/>
          <w:szCs w:val="22"/>
        </w:rPr>
        <w:t> </w:t>
      </w:r>
      <w:r w:rsidR="00614D5F" w:rsidRPr="001E073D">
        <w:rPr>
          <w:color w:val="000000" w:themeColor="text1"/>
          <w:sz w:val="22"/>
          <w:szCs w:val="22"/>
        </w:rPr>
        <w:t>permettant la production d'</w:t>
      </w:r>
      <w:hyperlink r:id="rId14" w:tooltip="Aluminium" w:history="1">
        <w:r w:rsidR="00614D5F" w:rsidRPr="001E073D">
          <w:rPr>
            <w:rStyle w:val="Lienhypertexte"/>
            <w:color w:val="000000" w:themeColor="text1"/>
            <w:sz w:val="22"/>
            <w:szCs w:val="22"/>
            <w:u w:val="none"/>
          </w:rPr>
          <w:t>aluminium</w:t>
        </w:r>
      </w:hyperlink>
      <w:r w:rsidR="00614D5F" w:rsidRPr="001E073D">
        <w:rPr>
          <w:color w:val="000000" w:themeColor="text1"/>
          <w:sz w:val="22"/>
          <w:szCs w:val="22"/>
        </w:rPr>
        <w:t>.</w:t>
      </w:r>
    </w:p>
    <w:p w:rsidR="00A11708" w:rsidRPr="001E073D" w:rsidRDefault="00614D5F" w:rsidP="000B112C">
      <w:pPr>
        <w:pStyle w:val="Sansinterligne"/>
        <w:rPr>
          <w:color w:val="000000" w:themeColor="text1"/>
          <w:sz w:val="22"/>
          <w:szCs w:val="22"/>
        </w:rPr>
      </w:pPr>
      <w:r w:rsidRPr="001E073D">
        <w:rPr>
          <w:color w:val="000000" w:themeColor="text1"/>
          <w:sz w:val="22"/>
          <w:szCs w:val="22"/>
        </w:rPr>
        <w:t>Elle se forme par altération continentale en climat chaud et humide.</w:t>
      </w:r>
    </w:p>
    <w:p w:rsidR="002A5FD1" w:rsidRDefault="002A5FD1" w:rsidP="000B112C">
      <w:pPr>
        <w:pStyle w:val="Sansinterligne"/>
      </w:pPr>
      <w:r w:rsidRPr="002A5FD1">
        <w:rPr>
          <w:b/>
          <w:u w:val="single"/>
        </w:rPr>
        <w:t>Calotte glaciaire</w:t>
      </w:r>
      <w:r>
        <w:t> : couche de glace recouvrant une masse continentale. Elles sont qualifiées de calottes polaires lorsqu’elles sont situées au niveau des pôles (Antarctique, Groenland). Ne pas confondre avec la banquise.</w:t>
      </w:r>
    </w:p>
    <w:p w:rsidR="002A5FD1" w:rsidRDefault="002A5FD1" w:rsidP="000B112C">
      <w:pPr>
        <w:pStyle w:val="Sansinterligne"/>
      </w:pPr>
      <w:r w:rsidRPr="002A5FD1">
        <w:rPr>
          <w:b/>
          <w:u w:val="single"/>
        </w:rPr>
        <w:t>Effet de serre</w:t>
      </w:r>
      <w:r>
        <w:t> : phénomène de réchauffement de la surface terrestre lié à la présence dans l’atmosphère de certains gaz comme le dioxyde de carbone ou la vapeur d’eau. Ces gaz absorbent le rayonnement infrarouge émis par la Terre.</w:t>
      </w:r>
    </w:p>
    <w:p w:rsidR="002A5FD1" w:rsidRDefault="002A5FD1" w:rsidP="000B112C">
      <w:pPr>
        <w:pStyle w:val="Sansinterligne"/>
      </w:pPr>
      <w:r w:rsidRPr="002A5FD1">
        <w:rPr>
          <w:b/>
          <w:u w:val="single"/>
        </w:rPr>
        <w:t>Evaporite</w:t>
      </w:r>
      <w:r>
        <w:t> : roche sédimentaire qui a pour origine la précipitation d’ions par évaporation d’une étendue d’eau (exemple : gypse).</w:t>
      </w:r>
    </w:p>
    <w:p w:rsidR="002A5FD1" w:rsidRDefault="002A5FD1" w:rsidP="000B112C">
      <w:pPr>
        <w:pStyle w:val="Sansinterligne"/>
      </w:pPr>
      <w:r w:rsidRPr="002A5FD1">
        <w:rPr>
          <w:b/>
          <w:u w:val="single"/>
        </w:rPr>
        <w:t>Latérite :</w:t>
      </w:r>
      <w:r>
        <w:t xml:space="preserve"> sol tropical rouge, ferrugineux et durci.</w:t>
      </w:r>
    </w:p>
    <w:p w:rsidR="002A5FD1" w:rsidRDefault="002A5FD1" w:rsidP="000B112C">
      <w:pPr>
        <w:pStyle w:val="Sansinterligne"/>
      </w:pPr>
      <w:r w:rsidRPr="002A5FD1">
        <w:rPr>
          <w:b/>
          <w:u w:val="single"/>
        </w:rPr>
        <w:t>Orogenèse</w:t>
      </w:r>
      <w:r>
        <w:t> : formation des reliefs d’une chaîne de montagnes.</w:t>
      </w:r>
    </w:p>
    <w:p w:rsidR="002A5FD1" w:rsidRDefault="002A5FD1" w:rsidP="000B112C">
      <w:pPr>
        <w:pStyle w:val="Sansinterligne"/>
      </w:pPr>
      <w:r w:rsidRPr="002A5FD1">
        <w:rPr>
          <w:b/>
          <w:u w:val="single"/>
        </w:rPr>
        <w:t>Tillites</w:t>
      </w:r>
      <w:r>
        <w:t> : dépôts détritiques très hétérogènes liés à la présence d’</w:t>
      </w:r>
      <w:r w:rsidR="00977A3E">
        <w:t>un glacier ou d’une calotte glaciaire.</w:t>
      </w:r>
    </w:p>
    <w:p w:rsidR="000B112C" w:rsidRPr="00960DCC" w:rsidRDefault="000B112C" w:rsidP="000B112C">
      <w:pPr>
        <w:pStyle w:val="Sansinterligne"/>
      </w:pPr>
    </w:p>
    <w:sectPr w:rsidR="000B112C" w:rsidRPr="00960DCC" w:rsidSect="009C57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277BB0"/>
    <w:multiLevelType w:val="hybridMultilevel"/>
    <w:tmpl w:val="AC745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BA6F78"/>
    <w:multiLevelType w:val="hybridMultilevel"/>
    <w:tmpl w:val="74AA383E"/>
    <w:lvl w:ilvl="0" w:tplc="AB542F56">
      <w:numFmt w:val="bullet"/>
      <w:lvlText w:val=""/>
      <w:lvlJc w:val="left"/>
      <w:pPr>
        <w:ind w:left="720" w:hanging="360"/>
      </w:pPr>
      <w:rPr>
        <w:rFonts w:ascii="Wingdings" w:eastAsia="Arial"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66479B"/>
    <w:multiLevelType w:val="hybridMultilevel"/>
    <w:tmpl w:val="82045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442501"/>
    <w:multiLevelType w:val="hybridMultilevel"/>
    <w:tmpl w:val="C4F8F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1"/>
    <w:rsid w:val="00043EA1"/>
    <w:rsid w:val="000706BA"/>
    <w:rsid w:val="000B112C"/>
    <w:rsid w:val="000B4AE6"/>
    <w:rsid w:val="000E02A9"/>
    <w:rsid w:val="000E5FA0"/>
    <w:rsid w:val="0014305E"/>
    <w:rsid w:val="0015585E"/>
    <w:rsid w:val="0016578D"/>
    <w:rsid w:val="001A5F61"/>
    <w:rsid w:val="001D064C"/>
    <w:rsid w:val="001E073D"/>
    <w:rsid w:val="00244DE5"/>
    <w:rsid w:val="00255DB0"/>
    <w:rsid w:val="0028259E"/>
    <w:rsid w:val="002A5FD1"/>
    <w:rsid w:val="002C07AB"/>
    <w:rsid w:val="002D7D26"/>
    <w:rsid w:val="004C3EED"/>
    <w:rsid w:val="00571428"/>
    <w:rsid w:val="00571C47"/>
    <w:rsid w:val="005874D2"/>
    <w:rsid w:val="005E56FA"/>
    <w:rsid w:val="00611640"/>
    <w:rsid w:val="00614D5F"/>
    <w:rsid w:val="006157A7"/>
    <w:rsid w:val="00690303"/>
    <w:rsid w:val="006C283B"/>
    <w:rsid w:val="006F694F"/>
    <w:rsid w:val="0072453E"/>
    <w:rsid w:val="00801603"/>
    <w:rsid w:val="0082132F"/>
    <w:rsid w:val="00913FD5"/>
    <w:rsid w:val="009603A8"/>
    <w:rsid w:val="00960DCC"/>
    <w:rsid w:val="00977A3E"/>
    <w:rsid w:val="009875EA"/>
    <w:rsid w:val="009C57F7"/>
    <w:rsid w:val="00A11708"/>
    <w:rsid w:val="00AD18DF"/>
    <w:rsid w:val="00B43F5E"/>
    <w:rsid w:val="00BC7B80"/>
    <w:rsid w:val="00BD4CFC"/>
    <w:rsid w:val="00C1599B"/>
    <w:rsid w:val="00C47242"/>
    <w:rsid w:val="00C840EA"/>
    <w:rsid w:val="00CA4CAA"/>
    <w:rsid w:val="00CC6C8D"/>
    <w:rsid w:val="00CE1BAD"/>
    <w:rsid w:val="00D349AA"/>
    <w:rsid w:val="00D5187F"/>
    <w:rsid w:val="00D634A3"/>
    <w:rsid w:val="00DE31DD"/>
    <w:rsid w:val="00EF32AC"/>
    <w:rsid w:val="00F532E4"/>
    <w:rsid w:val="00FF6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6C283B"/>
  </w:style>
  <w:style w:type="character" w:customStyle="1" w:styleId="apple-style-span">
    <w:name w:val="apple-style-span"/>
    <w:rsid w:val="006C283B"/>
  </w:style>
  <w:style w:type="character" w:styleId="Lienhypertexte">
    <w:name w:val="Hyperlink"/>
    <w:rsid w:val="006C283B"/>
    <w:rPr>
      <w:color w:val="0000FF"/>
      <w:u w:val="single"/>
    </w:rPr>
  </w:style>
  <w:style w:type="paragraph" w:styleId="Sansinterligne">
    <w:name w:val="No Spacing"/>
    <w:qFormat/>
    <w:rsid w:val="006C283B"/>
    <w:pPr>
      <w:suppressAutoHyphens/>
      <w:spacing w:after="0" w:line="240" w:lineRule="auto"/>
    </w:pPr>
    <w:rPr>
      <w:rFonts w:ascii="Times New Roman" w:eastAsia="Arial" w:hAnsi="Times New Roman" w:cs="Times New Roman"/>
      <w:sz w:val="24"/>
      <w:szCs w:val="24"/>
      <w:lang w:eastAsia="ar-SA"/>
    </w:rPr>
  </w:style>
  <w:style w:type="paragraph" w:styleId="NormalWeb">
    <w:name w:val="Normal (Web)"/>
    <w:basedOn w:val="Normal"/>
    <w:uiPriority w:val="99"/>
    <w:rsid w:val="006C283B"/>
    <w:pPr>
      <w:spacing w:before="280" w:after="28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6C28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3B"/>
    <w:rPr>
      <w:rFonts w:ascii="Tahoma" w:hAnsi="Tahoma" w:cs="Tahoma"/>
      <w:sz w:val="16"/>
      <w:szCs w:val="16"/>
    </w:rPr>
  </w:style>
  <w:style w:type="character" w:styleId="Accentuation">
    <w:name w:val="Emphasis"/>
    <w:basedOn w:val="Policepardfaut"/>
    <w:uiPriority w:val="20"/>
    <w:qFormat/>
    <w:rsid w:val="00CE1BAD"/>
    <w:rPr>
      <w:i/>
      <w:iCs/>
    </w:rPr>
  </w:style>
  <w:style w:type="table" w:styleId="Grilledutableau">
    <w:name w:val="Table Grid"/>
    <w:basedOn w:val="TableauNormal"/>
    <w:uiPriority w:val="59"/>
    <w:rsid w:val="00571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6C283B"/>
  </w:style>
  <w:style w:type="character" w:customStyle="1" w:styleId="apple-style-span">
    <w:name w:val="apple-style-span"/>
    <w:rsid w:val="006C283B"/>
  </w:style>
  <w:style w:type="character" w:styleId="Lienhypertexte">
    <w:name w:val="Hyperlink"/>
    <w:rsid w:val="006C283B"/>
    <w:rPr>
      <w:color w:val="0000FF"/>
      <w:u w:val="single"/>
    </w:rPr>
  </w:style>
  <w:style w:type="paragraph" w:styleId="Sansinterligne">
    <w:name w:val="No Spacing"/>
    <w:qFormat/>
    <w:rsid w:val="006C283B"/>
    <w:pPr>
      <w:suppressAutoHyphens/>
      <w:spacing w:after="0" w:line="240" w:lineRule="auto"/>
    </w:pPr>
    <w:rPr>
      <w:rFonts w:ascii="Times New Roman" w:eastAsia="Arial" w:hAnsi="Times New Roman" w:cs="Times New Roman"/>
      <w:sz w:val="24"/>
      <w:szCs w:val="24"/>
      <w:lang w:eastAsia="ar-SA"/>
    </w:rPr>
  </w:style>
  <w:style w:type="paragraph" w:styleId="NormalWeb">
    <w:name w:val="Normal (Web)"/>
    <w:basedOn w:val="Normal"/>
    <w:uiPriority w:val="99"/>
    <w:rsid w:val="006C283B"/>
    <w:pPr>
      <w:spacing w:before="280" w:after="28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6C28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3B"/>
    <w:rPr>
      <w:rFonts w:ascii="Tahoma" w:hAnsi="Tahoma" w:cs="Tahoma"/>
      <w:sz w:val="16"/>
      <w:szCs w:val="16"/>
    </w:rPr>
  </w:style>
  <w:style w:type="character" w:styleId="Accentuation">
    <w:name w:val="Emphasis"/>
    <w:basedOn w:val="Policepardfaut"/>
    <w:uiPriority w:val="20"/>
    <w:qFormat/>
    <w:rsid w:val="00CE1BAD"/>
    <w:rPr>
      <w:i/>
      <w:iCs/>
    </w:rPr>
  </w:style>
  <w:style w:type="table" w:styleId="Grilledutableau">
    <w:name w:val="Table Grid"/>
    <w:basedOn w:val="TableauNormal"/>
    <w:uiPriority w:val="59"/>
    <w:rsid w:val="00571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fr.wikipedia.org/wiki/Minerai_(roche)"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fr.wikipedia.org/wiki/F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fr.wikipedia.org/wiki/Ox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Alumine" TargetMode="External"/><Relationship Id="rId4" Type="http://schemas.openxmlformats.org/officeDocument/2006/relationships/settings" Target="settings.xml"/><Relationship Id="rId9" Type="http://schemas.openxmlformats.org/officeDocument/2006/relationships/hyperlink" Target="https://fr.wikipedia.org/wiki/Lat%C3%A9rite" TargetMode="External"/><Relationship Id="rId14" Type="http://schemas.openxmlformats.org/officeDocument/2006/relationships/hyperlink" Target="https://fr.wikipedia.org/wiki/Alumini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1024</Words>
  <Characters>5633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cp:lastModifiedBy>
  <cp:revision>45</cp:revision>
  <dcterms:created xsi:type="dcterms:W3CDTF">2012-12-07T18:05:00Z</dcterms:created>
  <dcterms:modified xsi:type="dcterms:W3CDTF">2015-12-30T15:09:00Z</dcterms:modified>
</cp:coreProperties>
</file>