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483E9D" w:rsidRDefault="00483E9D">
      <w:pPr>
        <w:pStyle w:val="NormalWeb"/>
        <w:jc w:val="center"/>
        <w:divId w:val="1650086997"/>
      </w:pPr>
      <w:r>
        <w:rPr>
          <w:b/>
          <w:bCs/>
          <w:color w:val="CC0099"/>
          <w:sz w:val="48"/>
          <w:szCs w:val="48"/>
        </w:rPr>
        <w:t>Extraction et mise en évidence</w:t>
      </w:r>
    </w:p>
    <w:p w:rsidR="00483E9D" w:rsidRDefault="00483E9D">
      <w:pPr>
        <w:pStyle w:val="NormalWeb"/>
        <w:jc w:val="center"/>
        <w:divId w:val="1650086997"/>
      </w:pPr>
      <w:r>
        <w:rPr>
          <w:b/>
          <w:bCs/>
          <w:color w:val="CC0099"/>
          <w:sz w:val="48"/>
          <w:szCs w:val="48"/>
        </w:rPr>
        <w:t>de la quantité de glycogène présent dans le foie</w:t>
      </w:r>
    </w:p>
    <w:p w:rsidR="00483E9D" w:rsidRDefault="00483E9D">
      <w:pPr>
        <w:pStyle w:val="NormalWeb"/>
        <w:jc w:val="center"/>
        <w:divId w:val="1650086997"/>
      </w:pPr>
      <w:r>
        <w:t>TP mis au point et présenté par Nadine MORANGE et Dominique GANTHEIL : Lycée L. Limosin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800080"/>
          <w:sz w:val="36"/>
          <w:szCs w:val="36"/>
          <w:u w:val="single"/>
        </w:rPr>
        <w:t>BUT :</w:t>
      </w:r>
    </w:p>
    <w:p w:rsidR="00483E9D" w:rsidRDefault="00483E9D">
      <w:pPr>
        <w:pStyle w:val="NormalWeb"/>
        <w:divId w:val="1650086997"/>
      </w:pPr>
      <w:r>
        <w:rPr>
          <w:color w:val="000000"/>
        </w:rPr>
        <w:t xml:space="preserve">On se propose de déterminer par la méthode colorimétrique de Beer-Lambert, la quantité de glycogène préalablement extraite d' un échantillon de foie le plus frais possible, </w:t>
      </w:r>
      <w:r>
        <w:rPr>
          <w:color w:val="FF0000"/>
        </w:rPr>
        <w:t>plus l'abattage de l'animal sera récent, plus le résultat de la manipulation sera probant .</w:t>
      </w:r>
    </w:p>
    <w:p w:rsidR="00483E9D" w:rsidRDefault="00483E9D">
      <w:pPr>
        <w:pStyle w:val="NormalWeb"/>
        <w:divId w:val="1650086997"/>
      </w:pPr>
      <w:r>
        <w:t> 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800080"/>
          <w:sz w:val="36"/>
          <w:szCs w:val="36"/>
          <w:u w:val="single"/>
        </w:rPr>
        <w:t>MATÉRIEL NÉCESSAIRE :</w:t>
      </w:r>
    </w:p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9"/>
        <w:gridCol w:w="1637"/>
        <w:gridCol w:w="1468"/>
        <w:gridCol w:w="1384"/>
        <w:gridCol w:w="1822"/>
      </w:tblGrid>
      <w:tr w:rsidR="00483E9D">
        <w:trPr>
          <w:divId w:val="1650086997"/>
          <w:trHeight w:val="285"/>
          <w:tblCellSpacing w:w="15" w:type="dxa"/>
        </w:trPr>
        <w:tc>
          <w:tcPr>
            <w:tcW w:w="13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pPr>
              <w:jc w:val="center"/>
            </w:pPr>
            <w:r>
              <w:t>Matière première</w:t>
            </w:r>
          </w:p>
        </w:tc>
        <w:tc>
          <w:tcPr>
            <w:tcW w:w="9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pPr>
              <w:jc w:val="center"/>
            </w:pPr>
            <w:r>
              <w:t>Appareillage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pPr>
              <w:jc w:val="center"/>
            </w:pPr>
            <w:r>
              <w:t>Verrerie</w:t>
            </w:r>
          </w:p>
        </w:tc>
        <w:tc>
          <w:tcPr>
            <w:tcW w:w="8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pPr>
              <w:jc w:val="center"/>
            </w:pPr>
            <w:r>
              <w:t>Réactifs</w:t>
            </w:r>
          </w:p>
        </w:tc>
        <w:tc>
          <w:tcPr>
            <w:tcW w:w="10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pPr>
              <w:jc w:val="center"/>
            </w:pPr>
            <w:r>
              <w:t>Matériel Exao</w:t>
            </w:r>
          </w:p>
        </w:tc>
      </w:tr>
      <w:tr w:rsidR="00483E9D">
        <w:trPr>
          <w:divId w:val="1650086997"/>
          <w:tblCellSpacing w:w="15" w:type="dxa"/>
        </w:trPr>
        <w:tc>
          <w:tcPr>
            <w:tcW w:w="13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83E9D" w:rsidRDefault="00483E9D">
            <w:r>
              <w:t>Foie de veau ou de porc frais</w:t>
            </w:r>
          </w:p>
        </w:tc>
        <w:tc>
          <w:tcPr>
            <w:tcW w:w="9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83E9D" w:rsidRDefault="00483E9D">
            <w:r>
              <w:t xml:space="preserve">Balance </w:t>
            </w:r>
          </w:p>
          <w:p w:rsidR="00483E9D" w:rsidRDefault="00483E9D">
            <w:pPr>
              <w:pStyle w:val="NormalWeb"/>
            </w:pPr>
            <w:r>
              <w:t>Broyeur électrique</w:t>
            </w:r>
          </w:p>
          <w:p w:rsidR="00483E9D" w:rsidRDefault="00483E9D">
            <w:pPr>
              <w:pStyle w:val="NormalWeb"/>
            </w:pPr>
            <w:r>
              <w:t>Trompe à vide</w:t>
            </w:r>
          </w:p>
          <w:p w:rsidR="00483E9D" w:rsidRDefault="00483E9D">
            <w:pPr>
              <w:pStyle w:val="NormalWeb"/>
            </w:pPr>
            <w:r>
              <w:t>Passoire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83E9D" w:rsidRDefault="00483E9D">
            <w:r>
              <w:t xml:space="preserve">Buchner + filtres </w:t>
            </w:r>
          </w:p>
          <w:p w:rsidR="00483E9D" w:rsidRDefault="00483E9D">
            <w:pPr>
              <w:pStyle w:val="NormalWeb"/>
            </w:pPr>
            <w:r>
              <w:t>Fiole à vide</w:t>
            </w:r>
          </w:p>
          <w:p w:rsidR="00483E9D" w:rsidRDefault="00483E9D">
            <w:pPr>
              <w:pStyle w:val="NormalWeb"/>
            </w:pPr>
            <w:r>
              <w:t>Bêcher</w:t>
            </w:r>
          </w:p>
          <w:p w:rsidR="00483E9D" w:rsidRDefault="00483E9D">
            <w:pPr>
              <w:pStyle w:val="NormalWeb"/>
            </w:pPr>
            <w:r>
              <w:t>Éprouvette</w:t>
            </w:r>
          </w:p>
          <w:p w:rsidR="00483E9D" w:rsidRDefault="00483E9D">
            <w:pPr>
              <w:pStyle w:val="NormalWeb"/>
            </w:pPr>
            <w:r>
              <w:t>Pipette</w:t>
            </w:r>
          </w:p>
        </w:tc>
        <w:tc>
          <w:tcPr>
            <w:tcW w:w="8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83E9D" w:rsidRDefault="00483E9D">
            <w:r>
              <w:t xml:space="preserve">Eau iodée </w:t>
            </w:r>
          </w:p>
          <w:p w:rsidR="00483E9D" w:rsidRDefault="00483E9D">
            <w:pPr>
              <w:pStyle w:val="NormalWeb"/>
            </w:pPr>
            <w:r>
              <w:t>Alcool à 95</w:t>
            </w:r>
          </w:p>
          <w:p w:rsidR="00483E9D" w:rsidRDefault="00483E9D">
            <w:pPr>
              <w:pStyle w:val="NormalWeb"/>
            </w:pPr>
            <w:r>
              <w:t>HCl concentrée</w:t>
            </w:r>
          </w:p>
          <w:p w:rsidR="00483E9D" w:rsidRDefault="00483E9D">
            <w:pPr>
              <w:pStyle w:val="NormalWeb"/>
            </w:pPr>
            <w:r>
              <w:t>Glycogène</w:t>
            </w:r>
          </w:p>
        </w:tc>
        <w:tc>
          <w:tcPr>
            <w:tcW w:w="10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83E9D" w:rsidRDefault="00483E9D">
            <w:r>
              <w:t xml:space="preserve">Color 4 (Jeulin) </w:t>
            </w:r>
          </w:p>
          <w:p w:rsidR="00483E9D" w:rsidRDefault="00483E9D">
            <w:pPr>
              <w:pStyle w:val="NormalWeb"/>
            </w:pPr>
            <w:r>
              <w:t>Cuves colorimétriques</w:t>
            </w:r>
          </w:p>
          <w:p w:rsidR="00483E9D" w:rsidRDefault="00483E9D">
            <w:pPr>
              <w:pStyle w:val="NormalWeb"/>
            </w:pPr>
            <w:r>
              <w:t>Logiciel Enzymo</w:t>
            </w:r>
          </w:p>
        </w:tc>
      </w:tr>
    </w:tbl>
    <w:p w:rsidR="00483E9D" w:rsidRDefault="00483E9D">
      <w:pPr>
        <w:pStyle w:val="NormalWeb"/>
        <w:divId w:val="1650086997"/>
      </w:pPr>
      <w:r>
        <w:t> 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800080"/>
          <w:sz w:val="36"/>
          <w:szCs w:val="36"/>
          <w:u w:val="single"/>
        </w:rPr>
        <w:t>MANIPULATION :</w:t>
      </w:r>
    </w:p>
    <w:p w:rsidR="00483E9D" w:rsidRDefault="00483E9D">
      <w:pPr>
        <w:pStyle w:val="NormalWeb"/>
        <w:divId w:val="1650086997"/>
      </w:pPr>
      <w:r>
        <w:rPr>
          <w:color w:val="000000"/>
        </w:rPr>
        <w:t>La manipulation se déroule en deux temps, il faut en premier lieu extraire le glycogène du foie puis dans un deuxième temps réaliser le dosage de l'échantillon obtenu par rapport à une gamme étalon en utilisant la méthode de Beer-Lambert .</w:t>
      </w:r>
    </w:p>
    <w:p w:rsidR="00483E9D" w:rsidRDefault="00483E9D">
      <w:pPr>
        <w:pStyle w:val="NormalWeb"/>
        <w:divId w:val="1650086997"/>
      </w:pPr>
      <w:r>
        <w:rPr>
          <w:b/>
          <w:bCs/>
          <w:i/>
          <w:iCs/>
          <w:u w:val="single"/>
        </w:rPr>
        <w:t>Extraction du glycogène :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Peser et couper en petits morceaux 10 g de foie frais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Faire bouillir le foie dans 100 ml d'eau distillée pendant 2 minutes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Égoutter à l'aide d'une passoire puis le broyer avec un mixeur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Ajouter 50 ml d'eau distillée et faire bouillir 5 minutes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Filtrer sous vide sur Buchner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Précipiter le filtrat récupéré avec 5 gouttes d'HCl concentré, (si un précipité important se forme, filtrer à nouveau afin d'éliminer l'excès protéique).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Traiter le filtrat récupéré par 4 fois son volume d'alcool à 95 puis filtrer sous vide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Récupérer le filtre, le laisser égoutter puis reprendre celui-ci avec 5 ml d'eau distillée</w:t>
      </w:r>
    </w:p>
    <w:p w:rsidR="00483E9D" w:rsidRDefault="00483E9D">
      <w:pPr>
        <w:numPr>
          <w:ilvl w:val="0"/>
          <w:numId w:val="1"/>
        </w:numPr>
        <w:spacing w:before="100" w:beforeAutospacing="1" w:after="100" w:afterAutospacing="1"/>
        <w:divId w:val="1650086997"/>
      </w:pPr>
      <w:r>
        <w:rPr>
          <w:color w:val="000000"/>
        </w:rPr>
        <w:t>Tester la présence de glycogène en prenant 3 gouttes du liquide obtenu et rajouter une goutte d'</w:t>
      </w:r>
      <w:r>
        <w:rPr>
          <w:b/>
          <w:bCs/>
        </w:rPr>
        <w:t>eau iodée*</w:t>
      </w:r>
      <w:r>
        <w:rPr>
          <w:color w:val="000000"/>
        </w:rPr>
        <w:t>, (on doit obtenir une couleur brun-acajou).</w:t>
      </w:r>
    </w:p>
    <w:p w:rsidR="00483E9D" w:rsidRDefault="00483E9D">
      <w:pPr>
        <w:pStyle w:val="NormalWeb"/>
        <w:divId w:val="1650086997"/>
      </w:pPr>
      <w:r>
        <w:rPr>
          <w:b/>
          <w:bCs/>
        </w:rPr>
        <w:t>*Eau iodée : dissoudre 1 g d'iode dans 2 g d'iodure de potassium puis compléter à 100 ml avec de l'eau distillée</w:t>
      </w:r>
    </w:p>
    <w:p w:rsidR="00483E9D" w:rsidRDefault="00483E9D">
      <w:pPr>
        <w:pStyle w:val="NormalWeb"/>
        <w:divId w:val="1650086997"/>
      </w:pPr>
      <w:r>
        <w:rPr>
          <w:b/>
          <w:bCs/>
          <w:i/>
          <w:iCs/>
          <w:u w:val="single"/>
        </w:rPr>
        <w:t>Dosage de l'échantillon suivant la méthode de Beer-Lambert :</w:t>
      </w:r>
    </w:p>
    <w:p w:rsidR="00483E9D" w:rsidRDefault="00483E9D">
      <w:pPr>
        <w:numPr>
          <w:ilvl w:val="0"/>
          <w:numId w:val="2"/>
        </w:numPr>
        <w:spacing w:before="100" w:beforeAutospacing="1" w:after="100" w:afterAutospacing="1"/>
        <w:divId w:val="1650086997"/>
      </w:pPr>
      <w:r>
        <w:rPr>
          <w:color w:val="CC0099"/>
        </w:rPr>
        <w:t>La loi de Beer-Lambert obéit à la relation suivante</w:t>
      </w:r>
      <w:r>
        <w:rPr>
          <w:i/>
          <w:iCs/>
          <w:color w:val="CC0099"/>
        </w:rPr>
        <w:t xml:space="preserve"> </w:t>
      </w:r>
      <w:r>
        <w:rPr>
          <w:b/>
          <w:bCs/>
          <w:i/>
          <w:iCs/>
          <w:color w:val="CC0099"/>
        </w:rPr>
        <w:t>DO = E . l . C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000000"/>
        </w:rPr>
        <w:t>DO</w:t>
      </w:r>
      <w:r>
        <w:rPr>
          <w:color w:val="000000"/>
        </w:rPr>
        <w:t xml:space="preserve"> ou densité optique correspond à une absorbance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000000"/>
        </w:rPr>
        <w:t>E</w:t>
      </w:r>
      <w:r>
        <w:rPr>
          <w:color w:val="000000"/>
        </w:rPr>
        <w:t xml:space="preserve"> (Epsilon) correspond au coefficient d'extinction molaire, (il est constant pour un produit donné)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000000"/>
        </w:rPr>
        <w:t>l</w:t>
      </w:r>
      <w:r>
        <w:rPr>
          <w:color w:val="000000"/>
        </w:rPr>
        <w:t xml:space="preserve"> est l'épaisseur du milieu traversé, (ici, il s'agit d'une cuve carré de 1 cm de coté)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000000"/>
        </w:rPr>
        <w:t>C</w:t>
      </w:r>
      <w:r>
        <w:rPr>
          <w:color w:val="000000"/>
        </w:rPr>
        <w:t xml:space="preserve"> correspond à la concentration  du produit à étudier</w:t>
      </w:r>
    </w:p>
    <w:p w:rsidR="00483E9D" w:rsidRDefault="00483E9D">
      <w:pPr>
        <w:pStyle w:val="NormalWeb"/>
        <w:divId w:val="1650086997"/>
      </w:pPr>
      <w:r>
        <w:rPr>
          <w:b/>
          <w:bCs/>
        </w:rPr>
        <w:t>E et l sont tout les deux constants, on peut donc dire que l'absorbance sera proportionnelle à la concentration</w:t>
      </w:r>
    </w:p>
    <w:p w:rsidR="00483E9D" w:rsidRDefault="00483E9D">
      <w:pPr>
        <w:numPr>
          <w:ilvl w:val="0"/>
          <w:numId w:val="3"/>
        </w:numPr>
        <w:spacing w:before="100" w:beforeAutospacing="1" w:after="100" w:afterAutospacing="1"/>
        <w:divId w:val="1650086997"/>
      </w:pPr>
      <w:r>
        <w:rPr>
          <w:i/>
          <w:iCs/>
          <w:color w:val="CC0099"/>
        </w:rPr>
        <w:t>Préparation de la gamme étalon</w:t>
      </w:r>
    </w:p>
    <w:p w:rsidR="00483E9D" w:rsidRDefault="00483E9D">
      <w:pPr>
        <w:pStyle w:val="NormalWeb"/>
        <w:divId w:val="1650086997"/>
      </w:pPr>
      <w:r>
        <w:rPr>
          <w:color w:val="000000"/>
        </w:rPr>
        <w:t>On prépare 100 ml d'une solution mère de glycogène à 10 g/L à partir de glycogène du commerce (Reférence au catalogue Jeulin : 117036, pureté 85%, conserver au réfrigérateur à 4¡).</w:t>
      </w:r>
      <w:r>
        <w:rPr>
          <w:i/>
          <w:iCs/>
          <w:color w:val="CC0099"/>
        </w:rPr>
        <w:t xml:space="preserve"> </w:t>
      </w:r>
      <w:r>
        <w:rPr>
          <w:b/>
          <w:bCs/>
        </w:rPr>
        <w:t>Il faut tenir compte de la pureté du produit pour réaliser les solutions.</w:t>
      </w:r>
    </w:p>
    <w:p w:rsidR="00483E9D" w:rsidRDefault="00483E9D">
      <w:pPr>
        <w:pStyle w:val="NormalWeb"/>
        <w:divId w:val="1650086997"/>
      </w:pPr>
      <w:r>
        <w:t> </w:t>
      </w:r>
    </w:p>
    <w:p w:rsidR="00483E9D" w:rsidRDefault="00483E9D">
      <w:pPr>
        <w:pStyle w:val="NormalWeb"/>
        <w:divId w:val="1650086997"/>
      </w:pPr>
      <w:r>
        <w:rPr>
          <w:color w:val="000000"/>
        </w:rPr>
        <w:t>On réalise les dilutions suivantes 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9"/>
        <w:gridCol w:w="1472"/>
        <w:gridCol w:w="1562"/>
        <w:gridCol w:w="1562"/>
        <w:gridCol w:w="1577"/>
      </w:tblGrid>
      <w:tr w:rsidR="00483E9D">
        <w:trPr>
          <w:divId w:val="1650086997"/>
          <w:tblCellSpacing w:w="15" w:type="dxa"/>
        </w:trPr>
        <w:tc>
          <w:tcPr>
            <w:tcW w:w="16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r>
              <w:t>Dilutions</w:t>
            </w:r>
          </w:p>
        </w:tc>
        <w:tc>
          <w:tcPr>
            <w:tcW w:w="8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1/2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1/4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1/8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1/32</w:t>
            </w:r>
          </w:p>
        </w:tc>
      </w:tr>
      <w:tr w:rsidR="00483E9D">
        <w:trPr>
          <w:divId w:val="1650086997"/>
          <w:tblCellSpacing w:w="15" w:type="dxa"/>
        </w:trPr>
        <w:tc>
          <w:tcPr>
            <w:tcW w:w="16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r>
              <w:t>Concentration de glycogène en mg/ml</w:t>
            </w:r>
          </w:p>
        </w:tc>
        <w:tc>
          <w:tcPr>
            <w:tcW w:w="8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4.250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2.125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1.063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0.266</w:t>
            </w:r>
          </w:p>
        </w:tc>
      </w:tr>
    </w:tbl>
    <w:p w:rsidR="00483E9D" w:rsidRDefault="00483E9D">
      <w:pPr>
        <w:pStyle w:val="NormalWeb"/>
        <w:divId w:val="1650086997"/>
      </w:pPr>
      <w:r>
        <w:t> </w:t>
      </w:r>
    </w:p>
    <w:p w:rsidR="00483E9D" w:rsidRDefault="00483E9D">
      <w:pPr>
        <w:pStyle w:val="NormalWeb"/>
        <w:divId w:val="1650086997"/>
      </w:pPr>
      <w:r>
        <w:rPr>
          <w:color w:val="000000"/>
        </w:rPr>
        <w:t>Les cuves se préparent de la manière suivante :</w:t>
      </w:r>
    </w:p>
    <w:p w:rsidR="00483E9D" w:rsidRDefault="00483E9D">
      <w:pPr>
        <w:pStyle w:val="NormalWeb"/>
        <w:divId w:val="1650086997"/>
      </w:pPr>
      <w:r>
        <w:rPr>
          <w:b/>
          <w:bCs/>
        </w:rPr>
        <w:t>1 ml de solution de glycogène + 3 ml d'eau distillée + 1 goutte d'eau iodée</w:t>
      </w:r>
    </w:p>
    <w:p w:rsidR="00483E9D" w:rsidRDefault="00483E9D">
      <w:pPr>
        <w:pStyle w:val="NormalWeb"/>
        <w:divId w:val="1650086997"/>
      </w:pPr>
      <w:r>
        <w:rPr>
          <w:b/>
          <w:bCs/>
        </w:rPr>
        <w:t>Le blanc permettant de régler le 100% de transmission se fait avec la solution diluée au 1/32</w:t>
      </w:r>
    </w:p>
    <w:p w:rsidR="00483E9D" w:rsidRDefault="00483E9D">
      <w:pPr>
        <w:pStyle w:val="NormalWeb"/>
        <w:divId w:val="1650086997"/>
      </w:pPr>
      <w:r>
        <w:rPr>
          <w:b/>
          <w:bCs/>
        </w:rPr>
        <w:t>Les mesures se font avec une longueur d'onde de 470 nm (filtre bleu)</w:t>
      </w:r>
    </w:p>
    <w:p w:rsidR="00483E9D" w:rsidRDefault="00483E9D">
      <w:pPr>
        <w:pStyle w:val="NormalWeb"/>
        <w:divId w:val="1650086997"/>
      </w:pPr>
      <w:r>
        <w:rPr>
          <w:b/>
          <w:bCs/>
        </w:rPr>
        <w:t>Avant de réaliser le dosage, vérifier que la coloration de l'échantillon de foie se situe bien dans la gamme</w:t>
      </w:r>
    </w:p>
    <w:p w:rsidR="00483E9D" w:rsidRDefault="00483E9D">
      <w:pPr>
        <w:pStyle w:val="NormalWeb"/>
        <w:divId w:val="1650086997"/>
      </w:pPr>
      <w:r>
        <w:t> </w:t>
      </w:r>
    </w:p>
    <w:p w:rsidR="00483E9D" w:rsidRDefault="00483E9D">
      <w:pPr>
        <w:pStyle w:val="NormalWeb"/>
        <w:divId w:val="1650086997"/>
      </w:pPr>
      <w:r>
        <w:rPr>
          <w:b/>
          <w:bCs/>
          <w:color w:val="800080"/>
          <w:sz w:val="36"/>
          <w:szCs w:val="36"/>
          <w:u w:val="single"/>
        </w:rPr>
        <w:t>RÉSULTATS :</w:t>
      </w:r>
    </w:p>
    <w:tbl>
      <w:tblPr>
        <w:tblW w:w="5000" w:type="pct"/>
        <w:tblCellSpacing w:w="15" w:type="dxa"/>
        <w:tblBorders>
          <w:top w:val="outset" w:sz="6" w:space="0" w:color="CC0099"/>
          <w:left w:val="outset" w:sz="6" w:space="0" w:color="CC0099"/>
          <w:bottom w:val="outset" w:sz="6" w:space="0" w:color="CC0099"/>
          <w:right w:val="outset" w:sz="6" w:space="0" w:color="CC00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9"/>
        <w:gridCol w:w="1472"/>
        <w:gridCol w:w="1562"/>
        <w:gridCol w:w="1562"/>
        <w:gridCol w:w="1577"/>
      </w:tblGrid>
      <w:tr w:rsidR="00483E9D">
        <w:trPr>
          <w:divId w:val="1650086997"/>
          <w:tblCellSpacing w:w="15" w:type="dxa"/>
        </w:trPr>
        <w:tc>
          <w:tcPr>
            <w:tcW w:w="16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r>
              <w:t>Concentration de glycogène en mg/ml</w:t>
            </w:r>
          </w:p>
        </w:tc>
        <w:tc>
          <w:tcPr>
            <w:tcW w:w="8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4.250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2.125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1.063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0.266</w:t>
            </w:r>
          </w:p>
        </w:tc>
      </w:tr>
      <w:tr w:rsidR="00483E9D">
        <w:trPr>
          <w:divId w:val="1650086997"/>
          <w:tblCellSpacing w:w="15" w:type="dxa"/>
        </w:trPr>
        <w:tc>
          <w:tcPr>
            <w:tcW w:w="16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CC0099"/>
            <w:vAlign w:val="center"/>
          </w:tcPr>
          <w:p w:rsidR="00483E9D" w:rsidRDefault="00483E9D">
            <w:r>
              <w:t>Absorbances</w:t>
            </w:r>
          </w:p>
        </w:tc>
        <w:tc>
          <w:tcPr>
            <w:tcW w:w="80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0.45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0.20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0.10</w:t>
            </w:r>
          </w:p>
        </w:tc>
        <w:tc>
          <w:tcPr>
            <w:tcW w:w="850" w:type="pc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</w:tcPr>
          <w:p w:rsidR="00483E9D" w:rsidRDefault="00483E9D">
            <w:pPr>
              <w:jc w:val="center"/>
            </w:pPr>
            <w:r>
              <w:t>0.05</w:t>
            </w:r>
          </w:p>
        </w:tc>
      </w:tr>
    </w:tbl>
    <w:p w:rsidR="00483E9D" w:rsidRDefault="00483E9D">
      <w:pPr>
        <w:pStyle w:val="NormalWeb"/>
        <w:divId w:val="1650086997"/>
      </w:pPr>
      <w:r>
        <w:t> </w:t>
      </w:r>
    </w:p>
    <w:p w:rsidR="00483E9D" w:rsidRDefault="00F13639">
      <w:pPr>
        <w:pStyle w:val="NormalWeb"/>
        <w:jc w:val="center"/>
        <w:divId w:val="1650086997"/>
      </w:pPr>
      <w:bookmarkStart w:id="0" w:name="_GoBack"/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1" name="Image 1" descr="../sitaca/Manipulations/TP_lycee/Images/TPGLY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itaca/Manipulations/TP_lycee/Images/TPGLYC1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9D" w:rsidRDefault="00483E9D">
      <w:pPr>
        <w:pStyle w:val="NormalWeb"/>
        <w:divId w:val="1650086997"/>
      </w:pPr>
      <w:r>
        <w:t> </w:t>
      </w:r>
    </w:p>
    <w:p w:rsidR="00483E9D" w:rsidRDefault="00483E9D">
      <w:pPr>
        <w:pStyle w:val="NormalWeb"/>
        <w:divId w:val="1650086997"/>
      </w:pPr>
      <w:r>
        <w:t>La courbe peut être réalisée sur du papier millimétré ou avec le logiciel Excel à partir des mesu</w:t>
      </w:r>
      <w:bookmarkEnd w:id="0"/>
      <w:r>
        <w:t>res expérimentales.</w:t>
      </w:r>
    </w:p>
    <w:p w:rsidR="00483E9D" w:rsidRDefault="00483E9D">
      <w:pPr>
        <w:pStyle w:val="NormalWeb"/>
        <w:divId w:val="1650086997"/>
      </w:pPr>
      <w:r>
        <w:t>On place ensuite l'échantillon de foie dans le colorimètre, on mesure l'absorbance, on la reporte sur la courbe étalon et on déduit ainsi la concentration en glycogène de nos 10 g de foie du départ.</w:t>
      </w:r>
    </w:p>
    <w:p w:rsidR="00483E9D" w:rsidRDefault="00483E9D">
      <w:pPr>
        <w:divId w:val="1650086997"/>
      </w:pPr>
    </w:p>
    <w:sectPr w:rsidR="0048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A15"/>
    <w:multiLevelType w:val="multilevel"/>
    <w:tmpl w:val="3A5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4F72"/>
    <w:multiLevelType w:val="multilevel"/>
    <w:tmpl w:val="280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95576"/>
    <w:multiLevelType w:val="multilevel"/>
    <w:tmpl w:val="9598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F"/>
    <w:rsid w:val="00483E9D"/>
    <w:rsid w:val="00A23A01"/>
    <w:rsid w:val="00DF418C"/>
    <w:rsid w:val="00F13639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nathalie\Mes%20documents\sitaca\Manipulations\TP_lycee\Images\TPGLYC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file:///C:\Documents%20and%20Settings\Labosvt\Bureau\sitaca\Manipulations\TP_lycee\Images\Mos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Glycogène</vt:lpstr>
    </vt:vector>
  </TitlesOfParts>
  <Company>LIMOSIN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Glycogène</dc:title>
  <dc:subject/>
  <dc:creator>Labo-svt</dc:creator>
  <cp:keywords/>
  <dc:description/>
  <cp:lastModifiedBy>nathalieFabien</cp:lastModifiedBy>
  <cp:revision>2</cp:revision>
  <dcterms:created xsi:type="dcterms:W3CDTF">2012-09-24T19:33:00Z</dcterms:created>
  <dcterms:modified xsi:type="dcterms:W3CDTF">2012-09-24T19:33:00Z</dcterms:modified>
</cp:coreProperties>
</file>